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31" w:rsidRDefault="00E76431">
      <w:pPr>
        <w:spacing w:beforeLines="100" w:before="312" w:afterLines="100" w:after="312"/>
        <w:jc w:val="center"/>
        <w:rPr>
          <w:rFonts w:ascii="黑体" w:eastAsia="黑体" w:hAnsi="黑体"/>
          <w:b/>
          <w:sz w:val="40"/>
          <w:szCs w:val="44"/>
        </w:rPr>
      </w:pPr>
    </w:p>
    <w:p w:rsidR="00E76431" w:rsidRDefault="008C4032">
      <w:pPr>
        <w:spacing w:beforeLines="100" w:before="312" w:afterLines="100" w:after="312"/>
        <w:jc w:val="center"/>
        <w:rPr>
          <w:rFonts w:ascii="黑体" w:eastAsia="黑体" w:hAnsi="黑体"/>
          <w:b/>
          <w:sz w:val="40"/>
          <w:szCs w:val="44"/>
        </w:rPr>
      </w:pPr>
      <w:r>
        <w:rPr>
          <w:rFonts w:ascii="黑体" w:eastAsia="黑体" w:hAnsi="黑体" w:hint="eastAsia"/>
          <w:b/>
          <w:sz w:val="40"/>
          <w:szCs w:val="44"/>
        </w:rPr>
        <w:t>第</w:t>
      </w:r>
      <w:r w:rsidR="00EB4E50">
        <w:rPr>
          <w:rFonts w:ascii="黑体" w:eastAsia="黑体" w:hAnsi="黑体" w:hint="eastAsia"/>
          <w:b/>
          <w:sz w:val="40"/>
          <w:szCs w:val="44"/>
        </w:rPr>
        <w:t>九</w:t>
      </w:r>
      <w:r>
        <w:rPr>
          <w:rFonts w:ascii="黑体" w:eastAsia="黑体" w:hAnsi="黑体" w:hint="eastAsia"/>
          <w:b/>
          <w:sz w:val="40"/>
          <w:szCs w:val="44"/>
        </w:rPr>
        <w:t>届“董必武青年法学成果奖”</w:t>
      </w:r>
    </w:p>
    <w:p w:rsidR="00E76431" w:rsidRDefault="008C4032">
      <w:pPr>
        <w:spacing w:beforeLines="100" w:before="312"/>
        <w:jc w:val="center"/>
        <w:rPr>
          <w:rFonts w:ascii="黑体" w:eastAsia="黑体" w:hAnsi="黑体"/>
          <w:b/>
          <w:sz w:val="40"/>
          <w:szCs w:val="44"/>
        </w:rPr>
      </w:pPr>
      <w:r>
        <w:rPr>
          <w:rFonts w:ascii="黑体" w:eastAsia="黑体" w:hAnsi="黑体" w:hint="eastAsia"/>
          <w:b/>
          <w:sz w:val="40"/>
          <w:szCs w:val="44"/>
        </w:rPr>
        <w:t>入围终评作品名单</w:t>
      </w:r>
    </w:p>
    <w:p w:rsidR="00E76431" w:rsidRDefault="008C4032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（排名不分先后）</w:t>
      </w:r>
    </w:p>
    <w:p w:rsidR="00E76431" w:rsidRDefault="00E76431">
      <w:pPr>
        <w:jc w:val="center"/>
        <w:rPr>
          <w:rFonts w:ascii="楷体" w:eastAsia="楷体" w:hAnsi="楷体"/>
          <w:b/>
          <w:sz w:val="32"/>
          <w:szCs w:val="32"/>
        </w:rPr>
      </w:pPr>
    </w:p>
    <w:tbl>
      <w:tblPr>
        <w:tblStyle w:val="a6"/>
        <w:tblW w:w="8520" w:type="dxa"/>
        <w:jc w:val="center"/>
        <w:tblLook w:val="04A0" w:firstRow="1" w:lastRow="0" w:firstColumn="1" w:lastColumn="0" w:noHBand="0" w:noVBand="1"/>
      </w:tblPr>
      <w:tblGrid>
        <w:gridCol w:w="1080"/>
        <w:gridCol w:w="7440"/>
      </w:tblGrid>
      <w:tr w:rsidR="00E76431">
        <w:trPr>
          <w:trHeight w:val="795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44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440" w:type="dxa"/>
            <w:vAlign w:val="center"/>
          </w:tcPr>
          <w:p w:rsidR="00E76431" w:rsidRDefault="003229FA" w:rsidP="003229F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95984">
              <w:rPr>
                <w:rFonts w:ascii="宋体" w:hAnsi="宋体" w:cs="宋体" w:hint="eastAsia"/>
                <w:color w:val="000000"/>
                <w:sz w:val="28"/>
                <w:szCs w:val="28"/>
              </w:rPr>
              <w:t>法律解释权模式研究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440" w:type="dxa"/>
            <w:vAlign w:val="center"/>
          </w:tcPr>
          <w:p w:rsidR="00E76431" w:rsidRDefault="00B9598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95984">
              <w:rPr>
                <w:rFonts w:ascii="宋体" w:hAnsi="宋体" w:cs="宋体" w:hint="eastAsia"/>
                <w:color w:val="000000"/>
                <w:sz w:val="28"/>
                <w:szCs w:val="28"/>
              </w:rPr>
              <w:t>基层法院的执行生态与非均衡执行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440" w:type="dxa"/>
            <w:vAlign w:val="center"/>
          </w:tcPr>
          <w:p w:rsidR="00E76431" w:rsidRDefault="00B9598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超越“依法裁判”的清代司法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440" w:type="dxa"/>
            <w:vAlign w:val="center"/>
          </w:tcPr>
          <w:p w:rsidR="00E76431" w:rsidRDefault="00242E9D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42E9D">
              <w:rPr>
                <w:rFonts w:ascii="宋体" w:hAnsi="宋体" w:cs="宋体" w:hint="eastAsia"/>
                <w:color w:val="000000"/>
                <w:sz w:val="28"/>
                <w:szCs w:val="28"/>
              </w:rPr>
              <w:t>大规模侵害个人信息高额罚款研究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440" w:type="dxa"/>
            <w:vAlign w:val="center"/>
          </w:tcPr>
          <w:p w:rsidR="00E76431" w:rsidRDefault="00B9598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95984">
              <w:rPr>
                <w:rFonts w:ascii="宋体" w:hAnsi="宋体" w:cs="宋体" w:hint="eastAsia"/>
                <w:color w:val="000000"/>
                <w:sz w:val="28"/>
                <w:szCs w:val="28"/>
              </w:rPr>
              <w:t>晚清西方视角中的中国家庭法</w:t>
            </w:r>
            <w:r w:rsidRPr="003229FA">
              <w:rPr>
                <w:rFonts w:ascii="宋体" w:hAnsi="宋体" w:cs="宋体" w:hint="eastAsia"/>
                <w:color w:val="000000"/>
                <w:sz w:val="24"/>
                <w:szCs w:val="24"/>
              </w:rPr>
              <w:t>——</w:t>
            </w:r>
            <w:proofErr w:type="gramStart"/>
            <w:r w:rsidRPr="003229FA">
              <w:rPr>
                <w:rFonts w:ascii="宋体" w:hAnsi="宋体" w:cs="宋体" w:hint="eastAsia"/>
                <w:color w:val="000000"/>
                <w:sz w:val="24"/>
                <w:szCs w:val="24"/>
              </w:rPr>
              <w:t>以哲美森译</w:t>
            </w:r>
            <w:proofErr w:type="gramEnd"/>
            <w:r w:rsidRPr="003229FA">
              <w:rPr>
                <w:rFonts w:ascii="宋体" w:hAnsi="宋体" w:cs="宋体" w:hint="eastAsia"/>
                <w:color w:val="000000"/>
                <w:sz w:val="24"/>
                <w:szCs w:val="24"/>
              </w:rPr>
              <w:t>《刑案汇览》为中心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440" w:type="dxa"/>
            <w:vAlign w:val="center"/>
          </w:tcPr>
          <w:p w:rsidR="00E76431" w:rsidRDefault="003229F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95984">
              <w:rPr>
                <w:rFonts w:ascii="宋体" w:hAnsi="宋体" w:cs="宋体" w:hint="eastAsia"/>
                <w:color w:val="000000"/>
                <w:sz w:val="28"/>
                <w:szCs w:val="28"/>
              </w:rPr>
              <w:t>人权需要统一根基吗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440" w:type="dxa"/>
            <w:vAlign w:val="center"/>
          </w:tcPr>
          <w:p w:rsidR="00E76431" w:rsidRDefault="00B9598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95984">
              <w:rPr>
                <w:rFonts w:ascii="宋体" w:hAnsi="宋体" w:cs="宋体" w:hint="eastAsia"/>
                <w:color w:val="000000"/>
                <w:sz w:val="28"/>
                <w:szCs w:val="28"/>
              </w:rPr>
              <w:t>变迁社会中的西北基层人民法院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440" w:type="dxa"/>
            <w:vAlign w:val="center"/>
          </w:tcPr>
          <w:p w:rsidR="00E76431" w:rsidRDefault="00B9598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95984">
              <w:rPr>
                <w:rFonts w:ascii="宋体" w:hAnsi="宋体" w:cs="宋体" w:hint="eastAsia"/>
                <w:color w:val="000000"/>
                <w:sz w:val="28"/>
                <w:szCs w:val="28"/>
              </w:rPr>
              <w:t>改革、制度生产力与经济绩效：广东改革历程的回顾与思考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440" w:type="dxa"/>
            <w:vAlign w:val="center"/>
          </w:tcPr>
          <w:p w:rsidR="00E76431" w:rsidRDefault="00B9598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95984">
              <w:rPr>
                <w:rFonts w:ascii="宋体" w:hAnsi="宋体" w:cs="宋体" w:hint="eastAsia"/>
                <w:color w:val="000000"/>
                <w:sz w:val="28"/>
                <w:szCs w:val="28"/>
              </w:rPr>
              <w:t>案例评析与法律评注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440" w:type="dxa"/>
            <w:vAlign w:val="center"/>
          </w:tcPr>
          <w:p w:rsidR="00E76431" w:rsidRDefault="00B9598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95984">
              <w:rPr>
                <w:rFonts w:ascii="宋体" w:hAnsi="宋体" w:cs="宋体" w:hint="eastAsia"/>
                <w:color w:val="000000"/>
                <w:sz w:val="28"/>
                <w:szCs w:val="28"/>
              </w:rPr>
              <w:t>数字孪生时代的法律与问责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440" w:type="dxa"/>
            <w:vAlign w:val="center"/>
          </w:tcPr>
          <w:p w:rsidR="00E76431" w:rsidRDefault="00B9598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95984">
              <w:rPr>
                <w:rFonts w:ascii="宋体" w:hAnsi="宋体" w:cs="宋体" w:hint="eastAsia"/>
                <w:color w:val="000000"/>
                <w:sz w:val="28"/>
                <w:szCs w:val="28"/>
              </w:rPr>
              <w:t>我国公共卫生法治的理论坐标与制度构建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440" w:type="dxa"/>
            <w:vAlign w:val="center"/>
          </w:tcPr>
          <w:p w:rsidR="00E76431" w:rsidRDefault="00B9598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95984">
              <w:rPr>
                <w:rFonts w:ascii="宋体" w:hAnsi="宋体" w:cs="宋体" w:hint="eastAsia"/>
                <w:color w:val="000000"/>
                <w:sz w:val="28"/>
                <w:szCs w:val="28"/>
              </w:rPr>
              <w:t>论算法的法律规制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440" w:type="dxa"/>
            <w:vAlign w:val="center"/>
          </w:tcPr>
          <w:p w:rsidR="00E76431" w:rsidRDefault="00B9598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95984">
              <w:rPr>
                <w:rFonts w:ascii="宋体" w:hAnsi="宋体" w:cs="宋体" w:hint="eastAsia"/>
                <w:color w:val="000000"/>
                <w:sz w:val="28"/>
                <w:szCs w:val="28"/>
              </w:rPr>
              <w:t>证据属性层次论</w:t>
            </w:r>
            <w:r w:rsidRPr="003229FA">
              <w:rPr>
                <w:rFonts w:ascii="宋体" w:hAnsi="宋体" w:cs="宋体" w:hint="eastAsia"/>
                <w:color w:val="000000"/>
                <w:sz w:val="24"/>
                <w:szCs w:val="24"/>
              </w:rPr>
              <w:t>——基于证据规则结构体系的理论反思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440" w:type="dxa"/>
            <w:vAlign w:val="center"/>
          </w:tcPr>
          <w:p w:rsidR="00E76431" w:rsidRDefault="00B9598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95984">
              <w:rPr>
                <w:rFonts w:ascii="宋体" w:hAnsi="宋体" w:cs="宋体" w:hint="eastAsia"/>
                <w:color w:val="000000"/>
                <w:sz w:val="28"/>
                <w:szCs w:val="28"/>
              </w:rPr>
              <w:t>紧急状态下的法治与社会正义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440" w:type="dxa"/>
            <w:vAlign w:val="center"/>
          </w:tcPr>
          <w:p w:rsidR="00E76431" w:rsidRDefault="00B9598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95984">
              <w:rPr>
                <w:rFonts w:ascii="宋体" w:hAnsi="宋体" w:cs="宋体" w:hint="eastAsia"/>
                <w:color w:val="000000"/>
                <w:sz w:val="28"/>
                <w:szCs w:val="28"/>
              </w:rPr>
              <w:t>重构“法的渊源”范畴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440" w:type="dxa"/>
            <w:vAlign w:val="center"/>
          </w:tcPr>
          <w:p w:rsidR="00E76431" w:rsidRDefault="00B9598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95984">
              <w:rPr>
                <w:rFonts w:ascii="宋体" w:hAnsi="宋体" w:cs="宋体" w:hint="eastAsia"/>
                <w:color w:val="000000"/>
                <w:sz w:val="28"/>
                <w:szCs w:val="28"/>
              </w:rPr>
              <w:t>现代性视域下的法律数字研究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440" w:type="dxa"/>
            <w:vAlign w:val="center"/>
          </w:tcPr>
          <w:p w:rsidR="00E76431" w:rsidRDefault="00B9598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95984">
              <w:rPr>
                <w:rFonts w:ascii="宋体" w:hAnsi="宋体" w:cs="宋体" w:hint="eastAsia"/>
                <w:color w:val="000000"/>
                <w:sz w:val="28"/>
                <w:szCs w:val="28"/>
              </w:rPr>
              <w:t>舆图换稿：明清之际的中国法哲学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440" w:type="dxa"/>
            <w:vAlign w:val="center"/>
          </w:tcPr>
          <w:p w:rsidR="00E76431" w:rsidRDefault="00B9598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95984">
              <w:rPr>
                <w:rFonts w:ascii="宋体" w:hAnsi="宋体" w:cs="宋体" w:hint="eastAsia"/>
                <w:color w:val="000000"/>
                <w:sz w:val="28"/>
                <w:szCs w:val="28"/>
              </w:rPr>
              <w:t>司法透明的理论与推进路径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440" w:type="dxa"/>
            <w:vAlign w:val="center"/>
          </w:tcPr>
          <w:p w:rsidR="00E76431" w:rsidRDefault="00B9598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95984">
              <w:rPr>
                <w:rFonts w:ascii="宋体" w:hAnsi="宋体" w:cs="宋体" w:hint="eastAsia"/>
                <w:color w:val="000000"/>
                <w:sz w:val="28"/>
                <w:szCs w:val="28"/>
              </w:rPr>
              <w:t>“不益惩</w:t>
            </w:r>
            <w:proofErr w:type="gramStart"/>
            <w:r w:rsidRPr="00B95984">
              <w:rPr>
                <w:rFonts w:ascii="宋体" w:hAnsi="宋体" w:cs="宋体" w:hint="eastAsia"/>
                <w:color w:val="000000"/>
                <w:sz w:val="28"/>
                <w:szCs w:val="28"/>
              </w:rPr>
              <w:t>肃</w:t>
            </w:r>
            <w:proofErr w:type="gramEnd"/>
            <w:r w:rsidRPr="00B95984">
              <w:rPr>
                <w:rFonts w:ascii="宋体" w:hAnsi="宋体" w:cs="宋体" w:hint="eastAsia"/>
                <w:color w:val="000000"/>
                <w:sz w:val="28"/>
                <w:szCs w:val="28"/>
              </w:rPr>
              <w:t>之理”的法理解析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440" w:type="dxa"/>
            <w:vAlign w:val="center"/>
          </w:tcPr>
          <w:p w:rsidR="00E76431" w:rsidRDefault="00B9598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95984">
              <w:rPr>
                <w:rFonts w:ascii="宋体" w:hAnsi="宋体" w:cs="宋体" w:hint="eastAsia"/>
                <w:color w:val="000000"/>
                <w:sz w:val="28"/>
                <w:szCs w:val="28"/>
              </w:rPr>
              <w:t>高等学校“非升即走”聘用合同法律性质及其制度法治逻辑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数据主权视野下个人信息跨境规则的建构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合宪性视角下的成片开发征收及其标准认定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地区平等问题研究</w:t>
            </w:r>
            <w:r w:rsidRPr="003229FA">
              <w:rPr>
                <w:rFonts w:ascii="宋体" w:hAnsi="宋体" w:cs="宋体" w:hint="eastAsia"/>
                <w:color w:val="000000"/>
                <w:sz w:val="24"/>
                <w:szCs w:val="24"/>
              </w:rPr>
              <w:t>——中央与地方关系的视角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权力之治：人工智能时代的算法规制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设区的市级地方立法权的改革与实施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应对基于健康状况的歧视： 理论、经验和挑战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论私人干预义务</w:t>
            </w:r>
            <w:r w:rsidRPr="003229FA">
              <w:rPr>
                <w:rFonts w:ascii="宋体" w:hAnsi="宋体" w:cs="宋体" w:hint="eastAsia"/>
                <w:color w:val="000000"/>
                <w:sz w:val="24"/>
                <w:szCs w:val="24"/>
              </w:rPr>
              <w:t>——网络时代的一种行政法学理更新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“数字弱势群体”权利及其法治化保障</w:t>
            </w:r>
          </w:p>
        </w:tc>
      </w:tr>
      <w:tr w:rsidR="00E76431">
        <w:trPr>
          <w:trHeight w:val="858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29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党政联合发文的信息公开困境与规则重塑</w:t>
            </w:r>
            <w:r w:rsidRPr="003229FA">
              <w:rPr>
                <w:rFonts w:ascii="宋体" w:hAnsi="宋体" w:cs="宋体" w:hint="eastAsia"/>
                <w:color w:val="000000"/>
                <w:sz w:val="24"/>
                <w:szCs w:val="24"/>
              </w:rPr>
              <w:t>——基于司法裁判的分析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网络平台的公共性及其实现</w:t>
            </w:r>
            <w:r w:rsidRPr="003229FA">
              <w:rPr>
                <w:rFonts w:ascii="宋体" w:hAnsi="宋体" w:cs="宋体" w:hint="eastAsia"/>
                <w:color w:val="000000"/>
                <w:sz w:val="24"/>
                <w:szCs w:val="24"/>
              </w:rPr>
              <w:t>——以电商平台的法律规制为视角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行政机关党组制与首长</w:t>
            </w:r>
            <w:proofErr w:type="gramStart"/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制关系</w:t>
            </w:r>
            <w:proofErr w:type="gramEnd"/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的规范解释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原旨主义在中国宪法解释中的基本价值探究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作为国家机构原则的民主集中制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系统论宪法学新思维的七个命题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论法律规范合宪性审查的体系化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中国人大议事规则：原理与制度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论民法典后司法</w:t>
            </w:r>
            <w:proofErr w:type="gramEnd"/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解释之命运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对待给付风险负担的基本原则及其突破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农民集体成员权、农民集体决议与乡村治理体系的健全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中国民法学的效率意识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私法中善意认定的规则体系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作为教学方法的法教义学：反思与扬弃</w:t>
            </w:r>
            <w:r w:rsidRPr="003229FA">
              <w:rPr>
                <w:rFonts w:ascii="宋体" w:hAnsi="宋体" w:cs="宋体" w:hint="eastAsia"/>
                <w:color w:val="000000"/>
                <w:sz w:val="24"/>
                <w:szCs w:val="24"/>
              </w:rPr>
              <w:t>——以案例教学和请求权基础理论为对象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论民法教义体系与家庭法的对立与融合：现代家庭法的谱系生成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民法典中的动产和权利担保体系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45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地下空间物</w:t>
            </w:r>
            <w:proofErr w:type="gramStart"/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权类型</w:t>
            </w:r>
            <w:proofErr w:type="gramEnd"/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的再体系化：“卡-梅框架”视野下的建设用地使用权、地役权与相邻关系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sz w:val="28"/>
                <w:szCs w:val="28"/>
              </w:rPr>
              <w:t>科研合同的功能性规制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民法家庭概念论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乡村振兴战略背景下农村生活垃圾分类治理问题研究</w:t>
            </w:r>
            <w:r w:rsidRPr="003229FA">
              <w:rPr>
                <w:rFonts w:ascii="宋体" w:hAnsi="宋体" w:cs="宋体" w:hint="eastAsia"/>
                <w:color w:val="000000"/>
                <w:sz w:val="24"/>
                <w:szCs w:val="24"/>
              </w:rPr>
              <w:t>——基于S省试点实践调查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侵权公平责任论：我国侵权法上公平责任的适用与立法研究</w:t>
            </w:r>
          </w:p>
        </w:tc>
      </w:tr>
      <w:tr w:rsidR="00E76431">
        <w:trPr>
          <w:trHeight w:val="900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传销犯罪的</w:t>
            </w:r>
            <w:proofErr w:type="gramStart"/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司法限缩与</w:t>
            </w:r>
            <w:proofErr w:type="gramEnd"/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立法完善</w:t>
            </w:r>
          </w:p>
        </w:tc>
      </w:tr>
      <w:tr w:rsidR="00E76431">
        <w:trPr>
          <w:trHeight w:val="960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中国刑法语境</w:t>
            </w:r>
            <w:proofErr w:type="gramStart"/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中正犯后正犯</w:t>
            </w:r>
            <w:proofErr w:type="gramEnd"/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理论之消解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非法吸收公众存款</w:t>
            </w:r>
            <w:proofErr w:type="gramStart"/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罪法益新</w:t>
            </w:r>
            <w:proofErr w:type="gramEnd"/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论及对司法适用的影响</w:t>
            </w:r>
            <w:r w:rsidRPr="003229FA">
              <w:rPr>
                <w:rFonts w:ascii="宋体" w:hAnsi="宋体" w:cs="宋体" w:hint="eastAsia"/>
                <w:color w:val="000000"/>
                <w:sz w:val="24"/>
                <w:szCs w:val="24"/>
              </w:rPr>
              <w:t>——结合货币银行学对 《刑法修正案 (十一)》的审读</w:t>
            </w:r>
          </w:p>
        </w:tc>
      </w:tr>
      <w:tr w:rsidR="00E76431">
        <w:trPr>
          <w:trHeight w:val="1016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诈骗罪中的处分意识：必要性及判别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7440" w:type="dxa"/>
            <w:vAlign w:val="center"/>
          </w:tcPr>
          <w:p w:rsidR="00E76431" w:rsidRDefault="00C06989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财产</w:t>
            </w:r>
            <w:proofErr w:type="gramStart"/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性利益</w:t>
            </w:r>
            <w:proofErr w:type="gramEnd"/>
            <w:r w:rsidRPr="00C06989">
              <w:rPr>
                <w:rFonts w:ascii="宋体" w:hAnsi="宋体" w:cs="宋体" w:hint="eastAsia"/>
                <w:color w:val="000000"/>
                <w:sz w:val="28"/>
                <w:szCs w:val="28"/>
              </w:rPr>
              <w:t>犯罪的基本问题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7440" w:type="dxa"/>
            <w:vAlign w:val="center"/>
          </w:tcPr>
          <w:p w:rsidR="00E76431" w:rsidRDefault="0095722B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5722B">
              <w:rPr>
                <w:rFonts w:ascii="宋体" w:hAnsi="宋体" w:cs="宋体" w:hint="eastAsia"/>
                <w:color w:val="000000"/>
                <w:sz w:val="28"/>
                <w:szCs w:val="28"/>
              </w:rPr>
              <w:t>正当防卫：理念、学说与制度适用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7440" w:type="dxa"/>
            <w:vAlign w:val="center"/>
          </w:tcPr>
          <w:p w:rsidR="00E76431" w:rsidRDefault="0095722B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5722B">
              <w:rPr>
                <w:rFonts w:ascii="宋体" w:hAnsi="宋体" w:cs="宋体" w:hint="eastAsia"/>
                <w:color w:val="000000"/>
                <w:sz w:val="28"/>
                <w:szCs w:val="28"/>
              </w:rPr>
              <w:t>刑法因果关系判断中的介入因素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7440" w:type="dxa"/>
            <w:vAlign w:val="center"/>
          </w:tcPr>
          <w:p w:rsidR="00E76431" w:rsidRDefault="0095722B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5722B">
              <w:rPr>
                <w:rFonts w:ascii="宋体" w:hAnsi="宋体" w:cs="宋体" w:hint="eastAsia"/>
                <w:color w:val="000000"/>
                <w:sz w:val="28"/>
                <w:szCs w:val="28"/>
              </w:rPr>
              <w:t>论稳健型刑法立法观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7440" w:type="dxa"/>
            <w:vAlign w:val="center"/>
          </w:tcPr>
          <w:p w:rsidR="00E76431" w:rsidRDefault="0095722B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5722B">
              <w:rPr>
                <w:rFonts w:ascii="宋体" w:hAnsi="宋体" w:cs="宋体" w:hint="eastAsia"/>
                <w:color w:val="000000"/>
                <w:sz w:val="28"/>
                <w:szCs w:val="28"/>
              </w:rPr>
              <w:t>刑民交叉实体问题的解决路径</w:t>
            </w:r>
            <w:r w:rsidRPr="003229FA">
              <w:rPr>
                <w:rFonts w:ascii="宋体" w:hAnsi="宋体" w:cs="宋体" w:hint="eastAsia"/>
                <w:color w:val="000000"/>
                <w:sz w:val="24"/>
                <w:szCs w:val="24"/>
              </w:rPr>
              <w:t>——“法律效果论”之展开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7440" w:type="dxa"/>
            <w:vAlign w:val="center"/>
          </w:tcPr>
          <w:p w:rsidR="00E76431" w:rsidRDefault="0095722B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5722B">
              <w:rPr>
                <w:rFonts w:ascii="宋体" w:hAnsi="宋体" w:cs="宋体" w:hint="eastAsia"/>
                <w:color w:val="000000"/>
                <w:sz w:val="28"/>
                <w:szCs w:val="28"/>
              </w:rPr>
              <w:t>“犯罪所得投资收益”追缴的影响因素与判断规则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60</w:t>
            </w:r>
          </w:p>
        </w:tc>
        <w:tc>
          <w:tcPr>
            <w:tcW w:w="7440" w:type="dxa"/>
            <w:vAlign w:val="center"/>
          </w:tcPr>
          <w:p w:rsidR="00E76431" w:rsidRDefault="0095722B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5722B">
              <w:rPr>
                <w:rFonts w:ascii="宋体" w:hAnsi="宋体" w:cs="宋体" w:hint="eastAsia"/>
                <w:color w:val="000000"/>
                <w:sz w:val="28"/>
                <w:szCs w:val="28"/>
              </w:rPr>
              <w:t>保证人地位事实论的重构与应用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7440" w:type="dxa"/>
            <w:vAlign w:val="center"/>
          </w:tcPr>
          <w:p w:rsidR="00E76431" w:rsidRDefault="0095722B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95722B">
              <w:rPr>
                <w:rFonts w:ascii="宋体" w:hAnsi="宋体" w:cs="宋体" w:hint="eastAsia"/>
                <w:color w:val="000000"/>
                <w:sz w:val="28"/>
                <w:szCs w:val="28"/>
              </w:rPr>
              <w:t>法益自决权</w:t>
            </w:r>
            <w:proofErr w:type="gramEnd"/>
            <w:r w:rsidRPr="0095722B">
              <w:rPr>
                <w:rFonts w:ascii="宋体" w:hAnsi="宋体" w:cs="宋体" w:hint="eastAsia"/>
                <w:color w:val="000000"/>
                <w:sz w:val="28"/>
                <w:szCs w:val="28"/>
              </w:rPr>
              <w:t>与侵犯公民个人信息罪的司法边界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7440" w:type="dxa"/>
            <w:vAlign w:val="center"/>
          </w:tcPr>
          <w:p w:rsidR="00E76431" w:rsidRDefault="0095722B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5722B">
              <w:rPr>
                <w:rFonts w:ascii="宋体" w:hAnsi="宋体" w:cs="宋体" w:hint="eastAsia"/>
                <w:color w:val="000000"/>
                <w:sz w:val="28"/>
                <w:szCs w:val="28"/>
              </w:rPr>
              <w:t>共犯从属性研究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7440" w:type="dxa"/>
            <w:vAlign w:val="center"/>
          </w:tcPr>
          <w:p w:rsidR="00E76431" w:rsidRDefault="0095722B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5722B">
              <w:rPr>
                <w:rFonts w:ascii="宋体" w:hAnsi="宋体" w:cs="宋体" w:hint="eastAsia"/>
                <w:color w:val="000000"/>
                <w:sz w:val="28"/>
                <w:szCs w:val="28"/>
              </w:rPr>
              <w:t>刑民交叉的理论构造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7440" w:type="dxa"/>
            <w:vAlign w:val="center"/>
          </w:tcPr>
          <w:p w:rsidR="00E76431" w:rsidRDefault="0095722B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5722B">
              <w:rPr>
                <w:rFonts w:ascii="宋体" w:hAnsi="宋体" w:cs="宋体" w:hint="eastAsia"/>
                <w:color w:val="000000"/>
                <w:sz w:val="28"/>
                <w:szCs w:val="28"/>
              </w:rPr>
              <w:t>论上诉请求拘束原则的适用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7440" w:type="dxa"/>
            <w:vAlign w:val="center"/>
          </w:tcPr>
          <w:p w:rsidR="00E76431" w:rsidRDefault="0095722B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5722B">
              <w:rPr>
                <w:rFonts w:ascii="宋体" w:hAnsi="宋体" w:cs="宋体" w:hint="eastAsia"/>
                <w:color w:val="000000"/>
                <w:sz w:val="28"/>
                <w:szCs w:val="28"/>
              </w:rPr>
              <w:t>论民事诉讼中的法官调查取证权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7440" w:type="dxa"/>
            <w:vAlign w:val="center"/>
          </w:tcPr>
          <w:p w:rsidR="00E76431" w:rsidRDefault="0095722B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5722B">
              <w:rPr>
                <w:rFonts w:ascii="宋体" w:hAnsi="宋体" w:cs="宋体" w:hint="eastAsia"/>
                <w:color w:val="000000"/>
                <w:sz w:val="28"/>
                <w:szCs w:val="28"/>
              </w:rPr>
              <w:t>民事立案程序中诉讼标的审查反思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7440" w:type="dxa"/>
            <w:vAlign w:val="center"/>
          </w:tcPr>
          <w:p w:rsidR="00E76431" w:rsidRDefault="0095722B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我国民事诉讼释明边界问题研究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7440" w:type="dxa"/>
            <w:vAlign w:val="center"/>
          </w:tcPr>
          <w:p w:rsidR="003229FA" w:rsidRDefault="0095722B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95722B">
              <w:rPr>
                <w:rFonts w:ascii="宋体" w:hAnsi="宋体" w:cs="宋体" w:hint="eastAsia"/>
                <w:sz w:val="28"/>
                <w:szCs w:val="28"/>
              </w:rPr>
              <w:t>精细化诉讼程序视域下民事诉讼争点整理现状及其发展</w:t>
            </w:r>
          </w:p>
          <w:p w:rsidR="00E76431" w:rsidRDefault="0095722B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229FA">
              <w:rPr>
                <w:rFonts w:ascii="宋体" w:hAnsi="宋体" w:cs="宋体" w:hint="eastAsia"/>
                <w:sz w:val="24"/>
                <w:szCs w:val="24"/>
              </w:rPr>
              <w:t>——基于规则和裁判文书的实践分析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7440" w:type="dxa"/>
            <w:vAlign w:val="center"/>
          </w:tcPr>
          <w:p w:rsidR="00E76431" w:rsidRDefault="0095722B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95722B">
              <w:rPr>
                <w:rFonts w:ascii="宋体" w:hAnsi="宋体" w:cs="宋体" w:hint="eastAsia"/>
                <w:sz w:val="28"/>
                <w:szCs w:val="28"/>
              </w:rPr>
              <w:t>纠纷解决合作主义：法院调解社会化研究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7440" w:type="dxa"/>
            <w:vAlign w:val="center"/>
          </w:tcPr>
          <w:p w:rsidR="00E76431" w:rsidRDefault="0095722B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95722B">
              <w:rPr>
                <w:rFonts w:ascii="宋体" w:hAnsi="宋体" w:cs="宋体" w:hint="eastAsia"/>
                <w:sz w:val="28"/>
                <w:szCs w:val="28"/>
              </w:rPr>
              <w:t>审判权与执行权的分离与协作研究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7440" w:type="dxa"/>
            <w:vAlign w:val="center"/>
          </w:tcPr>
          <w:p w:rsidR="00E76431" w:rsidRDefault="0095722B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95722B">
              <w:rPr>
                <w:rFonts w:ascii="宋体" w:hAnsi="宋体" w:cs="宋体" w:hint="eastAsia"/>
                <w:sz w:val="28"/>
                <w:szCs w:val="28"/>
              </w:rPr>
              <w:t>反思家事类商事纠纷之审判理路</w:t>
            </w:r>
            <w:r w:rsidRPr="003229FA">
              <w:rPr>
                <w:rFonts w:ascii="宋体" w:hAnsi="宋体" w:cs="宋体" w:hint="eastAsia"/>
                <w:sz w:val="24"/>
                <w:szCs w:val="24"/>
              </w:rPr>
              <w:t>——一个“家庭主义”的分析框架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color w:val="000000"/>
                <w:sz w:val="28"/>
                <w:szCs w:val="28"/>
              </w:rPr>
              <w:t>人工智能技术在司法裁判中的运用及规制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sz w:val="28"/>
                <w:szCs w:val="28"/>
              </w:rPr>
              <w:t>论刑事综合型证明模式及其对印证模式的超越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sz w:val="28"/>
                <w:szCs w:val="28"/>
              </w:rPr>
              <w:t>认罪认罚从宽制度适用中的职权性逻辑和协商性逻辑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sz w:val="28"/>
                <w:szCs w:val="28"/>
              </w:rPr>
              <w:t>刑事证据标准与证明标准之异同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76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sz w:val="28"/>
                <w:szCs w:val="28"/>
              </w:rPr>
              <w:t>刑事证明标准的规范功能与实践归宿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color w:val="000000"/>
                <w:sz w:val="28"/>
                <w:szCs w:val="28"/>
              </w:rPr>
              <w:t>“捕诉一体”论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color w:val="000000"/>
                <w:sz w:val="28"/>
                <w:szCs w:val="28"/>
              </w:rPr>
              <w:t>未成年人公益诉讼与少年司法国家责任的拓展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sz w:val="28"/>
                <w:szCs w:val="28"/>
              </w:rPr>
              <w:t>数字正当程序：网络时代的刑事诉讼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中国刑事诉讼专家辅助人制度研究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color w:val="000000"/>
                <w:sz w:val="28"/>
                <w:szCs w:val="28"/>
              </w:rPr>
              <w:t>反不正当竞争法中过错的地位及适用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color w:val="000000"/>
                <w:sz w:val="28"/>
                <w:szCs w:val="28"/>
              </w:rPr>
              <w:t>商业行规的司法适用：实证考察与法理阐释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sz w:val="28"/>
                <w:szCs w:val="28"/>
              </w:rPr>
            </w:pPr>
            <w:r w:rsidRPr="00C1418A">
              <w:rPr>
                <w:rFonts w:hint="eastAsia"/>
                <w:sz w:val="28"/>
                <w:szCs w:val="28"/>
              </w:rPr>
              <w:t>增值税中性原则与</w:t>
            </w:r>
            <w:proofErr w:type="gramStart"/>
            <w:r w:rsidRPr="00C1418A">
              <w:rPr>
                <w:rFonts w:hint="eastAsia"/>
                <w:sz w:val="28"/>
                <w:szCs w:val="28"/>
              </w:rPr>
              <w:t>民事制度</w:t>
            </w:r>
            <w:proofErr w:type="gramEnd"/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sz w:val="28"/>
                <w:szCs w:val="28"/>
              </w:rPr>
              <w:t>地方政府财政重整与债务重组中的司法权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sz w:val="28"/>
                <w:szCs w:val="28"/>
              </w:rPr>
              <w:t>商标保护与市场竞争关系之反思与修正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sz w:val="28"/>
                <w:szCs w:val="28"/>
              </w:rPr>
              <w:t>重点生态功能区生态补偿立法研究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sz w:val="28"/>
                <w:szCs w:val="28"/>
              </w:rPr>
              <w:t>优先股与普通股的利益分配--基于信义义务的制度方法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sz w:val="28"/>
                <w:szCs w:val="28"/>
              </w:rPr>
              <w:t>组织法视阈中的公司决议及其法律适用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sz w:val="28"/>
                <w:szCs w:val="28"/>
              </w:rPr>
              <w:t>论生态损害救济的模式选择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sz w:val="28"/>
                <w:szCs w:val="28"/>
              </w:rPr>
              <w:t>违法无效合同不当得利返还的比例分担：以</w:t>
            </w:r>
            <w:proofErr w:type="gramStart"/>
            <w:r w:rsidRPr="00C1418A">
              <w:rPr>
                <w:rFonts w:ascii="宋体" w:hAnsi="宋体" w:cs="宋体" w:hint="eastAsia"/>
                <w:sz w:val="28"/>
                <w:szCs w:val="28"/>
              </w:rPr>
              <w:t>股权代持为</w:t>
            </w:r>
            <w:proofErr w:type="gramEnd"/>
            <w:r w:rsidRPr="00C1418A">
              <w:rPr>
                <w:rFonts w:ascii="宋体" w:hAnsi="宋体" w:cs="宋体" w:hint="eastAsia"/>
                <w:sz w:val="28"/>
                <w:szCs w:val="28"/>
              </w:rPr>
              <w:t>中心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color w:val="000000"/>
                <w:sz w:val="28"/>
                <w:szCs w:val="28"/>
              </w:rPr>
              <w:t>公司意思表示论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color w:val="000000"/>
                <w:sz w:val="28"/>
                <w:szCs w:val="28"/>
              </w:rPr>
              <w:t>我国证券市场虚假陈述民事责任理论与实践的新发展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93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color w:val="000000"/>
                <w:sz w:val="28"/>
                <w:szCs w:val="28"/>
              </w:rPr>
              <w:t>用数字说话：商标调查实验的司法应用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sz w:val="28"/>
                <w:szCs w:val="28"/>
              </w:rPr>
              <w:t>环境污染与生态破坏责任论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1418A">
              <w:rPr>
                <w:rFonts w:ascii="宋体" w:hAnsi="宋体" w:cs="宋体"/>
                <w:sz w:val="28"/>
                <w:szCs w:val="28"/>
              </w:rPr>
              <w:t>The Hague Judgments Convention and Mainland China-Hong Kong SAR Judgments Arrangement: Comparison and Prospects for Implementation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sz w:val="28"/>
                <w:szCs w:val="28"/>
              </w:rPr>
              <w:t>《新加坡调解公约》在中国的批准与实施</w:t>
            </w:r>
          </w:p>
        </w:tc>
      </w:tr>
      <w:tr w:rsidR="00E76431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E76431" w:rsidRDefault="008C4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7440" w:type="dxa"/>
            <w:vAlign w:val="center"/>
          </w:tcPr>
          <w:p w:rsidR="00E76431" w:rsidRDefault="00C1418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color w:val="000000"/>
                <w:sz w:val="28"/>
                <w:szCs w:val="28"/>
              </w:rPr>
              <w:t>跨界破产承认与救济制度研究</w:t>
            </w:r>
          </w:p>
        </w:tc>
      </w:tr>
      <w:tr w:rsidR="00C1418A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C1418A" w:rsidRDefault="00C1418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7440" w:type="dxa"/>
            <w:vAlign w:val="center"/>
          </w:tcPr>
          <w:p w:rsidR="00C1418A" w:rsidRDefault="00C1418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color w:val="000000"/>
                <w:sz w:val="28"/>
                <w:szCs w:val="28"/>
              </w:rPr>
              <w:t>美国境外账户税收合</w:t>
            </w:r>
            <w:proofErr w:type="gramStart"/>
            <w:r w:rsidRPr="00C1418A">
              <w:rPr>
                <w:rFonts w:ascii="宋体" w:hAnsi="宋体" w:cs="宋体" w:hint="eastAsia"/>
                <w:color w:val="000000"/>
                <w:sz w:val="28"/>
                <w:szCs w:val="28"/>
              </w:rPr>
              <w:t>规</w:t>
            </w:r>
            <w:proofErr w:type="gramEnd"/>
            <w:r w:rsidRPr="00C1418A">
              <w:rPr>
                <w:rFonts w:ascii="宋体" w:hAnsi="宋体" w:cs="宋体" w:hint="eastAsia"/>
                <w:color w:val="000000"/>
                <w:sz w:val="28"/>
                <w:szCs w:val="28"/>
              </w:rPr>
              <w:t>法案的域外适用与中国对策研究</w:t>
            </w:r>
          </w:p>
        </w:tc>
      </w:tr>
      <w:tr w:rsidR="00C1418A" w:rsidTr="009A05E7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C1418A" w:rsidRDefault="00C1418A" w:rsidP="009A05E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7440" w:type="dxa"/>
            <w:vAlign w:val="center"/>
          </w:tcPr>
          <w:p w:rsidR="00C1418A" w:rsidRDefault="00C1418A" w:rsidP="009A05E7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color w:val="000000"/>
                <w:sz w:val="28"/>
                <w:szCs w:val="28"/>
              </w:rPr>
              <w:t>国际农产品公平贸易法律治理研究</w:t>
            </w:r>
          </w:p>
        </w:tc>
      </w:tr>
      <w:tr w:rsidR="00C1418A" w:rsidTr="009A05E7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C1418A" w:rsidRDefault="00C1418A" w:rsidP="009A05E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7440" w:type="dxa"/>
            <w:vAlign w:val="center"/>
          </w:tcPr>
          <w:p w:rsidR="00C1418A" w:rsidRDefault="00C1418A" w:rsidP="009A05E7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color w:val="000000"/>
                <w:sz w:val="28"/>
                <w:szCs w:val="28"/>
              </w:rPr>
              <w:t>航空</w:t>
            </w:r>
            <w:proofErr w:type="gramStart"/>
            <w:r w:rsidRPr="00C1418A">
              <w:rPr>
                <w:rFonts w:ascii="宋体" w:hAnsi="宋体" w:cs="宋体" w:hint="eastAsia"/>
                <w:color w:val="000000"/>
                <w:sz w:val="28"/>
                <w:szCs w:val="28"/>
              </w:rPr>
              <w:t>器物权</w:t>
            </w:r>
            <w:proofErr w:type="gramEnd"/>
            <w:r w:rsidRPr="00C1418A">
              <w:rPr>
                <w:rFonts w:ascii="宋体" w:hAnsi="宋体" w:cs="宋体" w:hint="eastAsia"/>
                <w:color w:val="000000"/>
                <w:sz w:val="28"/>
                <w:szCs w:val="28"/>
              </w:rPr>
              <w:t>研究</w:t>
            </w:r>
          </w:p>
        </w:tc>
      </w:tr>
      <w:tr w:rsidR="00C1418A" w:rsidTr="009A05E7">
        <w:trPr>
          <w:trHeight w:val="799"/>
          <w:jc w:val="center"/>
        </w:trPr>
        <w:tc>
          <w:tcPr>
            <w:tcW w:w="1080" w:type="dxa"/>
            <w:noWrap/>
            <w:vAlign w:val="center"/>
          </w:tcPr>
          <w:p w:rsidR="00C1418A" w:rsidRDefault="00C1418A" w:rsidP="009A05E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7440" w:type="dxa"/>
            <w:vAlign w:val="center"/>
          </w:tcPr>
          <w:p w:rsidR="00C1418A" w:rsidRDefault="00C1418A" w:rsidP="003229F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1418A">
              <w:rPr>
                <w:rFonts w:ascii="宋体" w:hAnsi="宋体" w:cs="宋体" w:hint="eastAsia"/>
                <w:color w:val="000000"/>
                <w:sz w:val="28"/>
                <w:szCs w:val="28"/>
              </w:rPr>
              <w:t>A comparative analysis of policing consumer contracts in China and the EU</w:t>
            </w:r>
            <w:bookmarkStart w:id="0" w:name="_GoBack"/>
            <w:bookmarkEnd w:id="0"/>
          </w:p>
        </w:tc>
      </w:tr>
    </w:tbl>
    <w:p w:rsidR="00E76431" w:rsidRDefault="00E76431">
      <w:pPr>
        <w:jc w:val="center"/>
      </w:pPr>
    </w:p>
    <w:sectPr w:rsidR="00E7643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C4" w:rsidRDefault="00B072C4" w:rsidP="00EB4E50">
      <w:r>
        <w:separator/>
      </w:r>
    </w:p>
  </w:endnote>
  <w:endnote w:type="continuationSeparator" w:id="0">
    <w:p w:rsidR="00B072C4" w:rsidRDefault="00B072C4" w:rsidP="00EB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195242"/>
      <w:docPartObj>
        <w:docPartGallery w:val="Page Numbers (Bottom of Page)"/>
        <w:docPartUnique/>
      </w:docPartObj>
    </w:sdtPr>
    <w:sdtContent>
      <w:p w:rsidR="007C3818" w:rsidRDefault="007C38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3818">
          <w:rPr>
            <w:noProof/>
            <w:lang w:val="zh-CN"/>
          </w:rPr>
          <w:t>7</w:t>
        </w:r>
        <w:r>
          <w:fldChar w:fldCharType="end"/>
        </w:r>
      </w:p>
    </w:sdtContent>
  </w:sdt>
  <w:p w:rsidR="007C3818" w:rsidRDefault="007C38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C4" w:rsidRDefault="00B072C4" w:rsidP="00EB4E50">
      <w:r>
        <w:separator/>
      </w:r>
    </w:p>
  </w:footnote>
  <w:footnote w:type="continuationSeparator" w:id="0">
    <w:p w:rsidR="00B072C4" w:rsidRDefault="00B072C4" w:rsidP="00EB4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8B"/>
    <w:rsid w:val="00037EF0"/>
    <w:rsid w:val="000674BC"/>
    <w:rsid w:val="00085146"/>
    <w:rsid w:val="000C1578"/>
    <w:rsid w:val="000C2663"/>
    <w:rsid w:val="00184561"/>
    <w:rsid w:val="00196553"/>
    <w:rsid w:val="001C33D4"/>
    <w:rsid w:val="001C5FE0"/>
    <w:rsid w:val="0020226C"/>
    <w:rsid w:val="002041D5"/>
    <w:rsid w:val="002059DC"/>
    <w:rsid w:val="00236711"/>
    <w:rsid w:val="00242E9D"/>
    <w:rsid w:val="002B28C9"/>
    <w:rsid w:val="002B56DA"/>
    <w:rsid w:val="002E459F"/>
    <w:rsid w:val="002F1092"/>
    <w:rsid w:val="0031361F"/>
    <w:rsid w:val="003229FA"/>
    <w:rsid w:val="00335CF3"/>
    <w:rsid w:val="003777D2"/>
    <w:rsid w:val="003C628A"/>
    <w:rsid w:val="00437A84"/>
    <w:rsid w:val="00461E14"/>
    <w:rsid w:val="0059138A"/>
    <w:rsid w:val="005B7C4A"/>
    <w:rsid w:val="00606F01"/>
    <w:rsid w:val="006137A8"/>
    <w:rsid w:val="006A0FEF"/>
    <w:rsid w:val="006C23E1"/>
    <w:rsid w:val="007672F3"/>
    <w:rsid w:val="007C3818"/>
    <w:rsid w:val="007D035E"/>
    <w:rsid w:val="008B20DB"/>
    <w:rsid w:val="008C4032"/>
    <w:rsid w:val="0094439C"/>
    <w:rsid w:val="0095722B"/>
    <w:rsid w:val="009673CB"/>
    <w:rsid w:val="00982B8B"/>
    <w:rsid w:val="009B4CA9"/>
    <w:rsid w:val="00AD29AA"/>
    <w:rsid w:val="00B072C4"/>
    <w:rsid w:val="00B95984"/>
    <w:rsid w:val="00BC1EAA"/>
    <w:rsid w:val="00C06989"/>
    <w:rsid w:val="00C1418A"/>
    <w:rsid w:val="00C33798"/>
    <w:rsid w:val="00CB3A3B"/>
    <w:rsid w:val="00CF2CCC"/>
    <w:rsid w:val="00D00A86"/>
    <w:rsid w:val="00D30B81"/>
    <w:rsid w:val="00D41732"/>
    <w:rsid w:val="00DE2F3D"/>
    <w:rsid w:val="00E150E0"/>
    <w:rsid w:val="00E317C7"/>
    <w:rsid w:val="00E31ADD"/>
    <w:rsid w:val="00E50AE1"/>
    <w:rsid w:val="00E60E43"/>
    <w:rsid w:val="00E76431"/>
    <w:rsid w:val="00EB4E50"/>
    <w:rsid w:val="01AE4B8A"/>
    <w:rsid w:val="0AE6425B"/>
    <w:rsid w:val="519807C2"/>
    <w:rsid w:val="682124E7"/>
    <w:rsid w:val="691B68D3"/>
    <w:rsid w:val="6AF5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 w:qFormat="1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List"/>
    <w:basedOn w:val="a1"/>
    <w:uiPriority w:val="61"/>
    <w:qFormat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 w:qFormat="1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List"/>
    <w:basedOn w:val="a1"/>
    <w:uiPriority w:val="61"/>
    <w:qFormat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A55E49-A63B-42DB-BDA3-B7DFE2FE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7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2201-192</dc:creator>
  <cp:lastModifiedBy>Lenovo</cp:lastModifiedBy>
  <cp:revision>48</cp:revision>
  <cp:lastPrinted>2021-10-19T01:40:00Z</cp:lastPrinted>
  <dcterms:created xsi:type="dcterms:W3CDTF">2019-09-19T10:02:00Z</dcterms:created>
  <dcterms:modified xsi:type="dcterms:W3CDTF">2021-10-19T02:24:00Z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