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0" w:line="222" w:lineRule="auto"/>
        <w:ind w:left="1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附件2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250" w:lineRule="exact"/>
        <w:ind w:firstLine="2955"/>
        <w:textAlignment w:val="center"/>
      </w:pPr>
      <w:r>
        <w:drawing>
          <wp:inline distT="0" distB="0" distL="0" distR="0">
            <wp:extent cx="1435100" cy="142875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5130" cy="1428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40" w:line="692" w:lineRule="exact"/>
        <w:ind w:left="1161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4"/>
          <w:position w:val="18"/>
          <w:sz w:val="43"/>
          <w:szCs w:val="43"/>
        </w:rPr>
        <w:t>第十届“全国杰出青年法学家”</w:t>
      </w:r>
    </w:p>
    <w:p>
      <w:pPr>
        <w:spacing w:line="222" w:lineRule="auto"/>
        <w:ind w:left="3481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z w:val="43"/>
          <w:szCs w:val="43"/>
        </w:rPr>
        <w:t>推荐表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222" w:lineRule="auto"/>
        <w:ind w:left="7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6"/>
          <w:sz w:val="31"/>
          <w:szCs w:val="31"/>
        </w:rPr>
        <w:t>姓</w:t>
      </w:r>
      <w:r>
        <w:rPr>
          <w:rFonts w:ascii="黑体" w:hAnsi="黑体" w:eastAsia="黑体" w:cs="黑体"/>
          <w:spacing w:val="43"/>
          <w:sz w:val="31"/>
          <w:szCs w:val="31"/>
        </w:rPr>
        <w:t xml:space="preserve">   </w:t>
      </w:r>
      <w:r>
        <w:rPr>
          <w:rFonts w:ascii="黑体" w:hAnsi="黑体" w:eastAsia="黑体" w:cs="黑体"/>
          <w:b/>
          <w:bCs/>
          <w:spacing w:val="-26"/>
          <w:sz w:val="31"/>
          <w:szCs w:val="31"/>
        </w:rPr>
        <w:t>名</w:t>
      </w:r>
      <w:r>
        <w:rPr>
          <w:rFonts w:ascii="黑体" w:hAnsi="黑体" w:eastAsia="黑体" w:cs="黑体"/>
          <w:spacing w:val="-10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  <w:u w:val="single" w:color="auto"/>
        </w:rPr>
        <w:t xml:space="preserve">                </w:t>
      </w:r>
      <w:r>
        <w:rPr>
          <w:rFonts w:ascii="黑体" w:hAnsi="黑体" w:eastAsia="黑体" w:cs="黑体"/>
          <w:b/>
          <w:bCs/>
          <w:spacing w:val="-26"/>
          <w:sz w:val="31"/>
          <w:szCs w:val="31"/>
          <w:u w:val="single" w:color="auto"/>
        </w:rPr>
        <w:t>罗</w:t>
      </w:r>
      <w:r>
        <w:rPr>
          <w:rFonts w:ascii="黑体" w:hAnsi="黑体" w:eastAsia="黑体" w:cs="黑体"/>
          <w:spacing w:val="103"/>
          <w:sz w:val="31"/>
          <w:szCs w:val="31"/>
          <w:u w:val="single" w:color="auto"/>
        </w:rPr>
        <w:t xml:space="preserve"> </w:t>
      </w:r>
      <w:r>
        <w:rPr>
          <w:rFonts w:ascii="黑体" w:hAnsi="黑体" w:eastAsia="黑体" w:cs="黑体"/>
          <w:b/>
          <w:bCs/>
          <w:spacing w:val="-26"/>
          <w:sz w:val="31"/>
          <w:szCs w:val="31"/>
          <w:u w:val="single" w:color="auto"/>
        </w:rPr>
        <w:t>昆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</w:t>
      </w:r>
    </w:p>
    <w:p>
      <w:pPr>
        <w:spacing w:line="361" w:lineRule="auto"/>
        <w:rPr>
          <w:rFonts w:ascii="Arial"/>
          <w:sz w:val="21"/>
        </w:rPr>
      </w:pPr>
    </w:p>
    <w:p>
      <w:pPr>
        <w:spacing w:before="101" w:line="221" w:lineRule="auto"/>
        <w:ind w:left="7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8"/>
          <w:sz w:val="31"/>
          <w:szCs w:val="31"/>
        </w:rPr>
        <w:t>工作单位</w:t>
      </w:r>
      <w:r>
        <w:rPr>
          <w:rFonts w:ascii="黑体" w:hAnsi="黑体" w:eastAsia="黑体" w:cs="黑体"/>
          <w:spacing w:val="-14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2"/>
          <w:sz w:val="31"/>
          <w:szCs w:val="31"/>
          <w:u w:val="single" w:color="auto"/>
        </w:rPr>
        <w:t xml:space="preserve">          </w:t>
      </w:r>
      <w:r>
        <w:rPr>
          <w:rFonts w:ascii="黑体" w:hAnsi="黑体" w:eastAsia="黑体" w:cs="黑体"/>
          <w:b/>
          <w:bCs/>
          <w:spacing w:val="-28"/>
          <w:sz w:val="31"/>
          <w:szCs w:val="31"/>
          <w:u w:val="single" w:color="auto"/>
        </w:rPr>
        <w:t>武</w:t>
      </w:r>
      <w:r>
        <w:rPr>
          <w:rFonts w:ascii="黑体" w:hAnsi="黑体" w:eastAsia="黑体" w:cs="黑体"/>
          <w:spacing w:val="41"/>
          <w:sz w:val="31"/>
          <w:szCs w:val="31"/>
          <w:u w:val="single" w:color="auto"/>
        </w:rPr>
        <w:t xml:space="preserve"> </w:t>
      </w:r>
      <w:r>
        <w:rPr>
          <w:rFonts w:ascii="黑体" w:hAnsi="黑体" w:eastAsia="黑体" w:cs="黑体"/>
          <w:b/>
          <w:bCs/>
          <w:spacing w:val="-28"/>
          <w:sz w:val="31"/>
          <w:szCs w:val="31"/>
          <w:u w:val="single" w:color="auto"/>
        </w:rPr>
        <w:t>汉</w:t>
      </w:r>
      <w:r>
        <w:rPr>
          <w:rFonts w:ascii="黑体" w:hAnsi="黑体" w:eastAsia="黑体" w:cs="黑体"/>
          <w:spacing w:val="33"/>
          <w:sz w:val="31"/>
          <w:szCs w:val="31"/>
          <w:u w:val="single" w:color="auto"/>
        </w:rPr>
        <w:t xml:space="preserve"> </w:t>
      </w:r>
      <w:r>
        <w:rPr>
          <w:rFonts w:ascii="黑体" w:hAnsi="黑体" w:eastAsia="黑体" w:cs="黑体"/>
          <w:b/>
          <w:bCs/>
          <w:spacing w:val="-28"/>
          <w:sz w:val="31"/>
          <w:szCs w:val="31"/>
          <w:u w:val="single" w:color="auto"/>
        </w:rPr>
        <w:t>大</w:t>
      </w:r>
      <w:r>
        <w:rPr>
          <w:rFonts w:ascii="黑体" w:hAnsi="黑体" w:eastAsia="黑体" w:cs="黑体"/>
          <w:spacing w:val="43"/>
          <w:sz w:val="31"/>
          <w:szCs w:val="31"/>
          <w:u w:val="single" w:color="auto"/>
        </w:rPr>
        <w:t xml:space="preserve"> </w:t>
      </w:r>
      <w:r>
        <w:rPr>
          <w:rFonts w:ascii="黑体" w:hAnsi="黑体" w:eastAsia="黑体" w:cs="黑体"/>
          <w:b/>
          <w:bCs/>
          <w:spacing w:val="-28"/>
          <w:sz w:val="31"/>
          <w:szCs w:val="31"/>
          <w:u w:val="single" w:color="auto"/>
        </w:rPr>
        <w:t>学</w:t>
      </w:r>
      <w:r>
        <w:rPr>
          <w:rFonts w:ascii="黑体" w:hAnsi="黑体" w:eastAsia="黑体" w:cs="黑体"/>
          <w:spacing w:val="36"/>
          <w:sz w:val="31"/>
          <w:szCs w:val="31"/>
          <w:u w:val="single" w:color="auto"/>
        </w:rPr>
        <w:t xml:space="preserve"> </w:t>
      </w:r>
      <w:r>
        <w:rPr>
          <w:rFonts w:ascii="黑体" w:hAnsi="黑体" w:eastAsia="黑体" w:cs="黑体"/>
          <w:b/>
          <w:bCs/>
          <w:spacing w:val="-28"/>
          <w:sz w:val="31"/>
          <w:szCs w:val="31"/>
          <w:u w:val="single" w:color="auto"/>
        </w:rPr>
        <w:t>法</w:t>
      </w:r>
      <w:r>
        <w:rPr>
          <w:rFonts w:ascii="黑体" w:hAnsi="黑体" w:eastAsia="黑体" w:cs="黑体"/>
          <w:spacing w:val="43"/>
          <w:sz w:val="31"/>
          <w:szCs w:val="31"/>
          <w:u w:val="single" w:color="auto"/>
        </w:rPr>
        <w:t xml:space="preserve"> </w:t>
      </w:r>
      <w:r>
        <w:rPr>
          <w:rFonts w:ascii="黑体" w:hAnsi="黑体" w:eastAsia="黑体" w:cs="黑体"/>
          <w:b/>
          <w:bCs/>
          <w:spacing w:val="-28"/>
          <w:sz w:val="31"/>
          <w:szCs w:val="31"/>
          <w:u w:val="single" w:color="auto"/>
        </w:rPr>
        <w:t>学</w:t>
      </w:r>
      <w:r>
        <w:rPr>
          <w:rFonts w:ascii="黑体" w:hAnsi="黑体" w:eastAsia="黑体" w:cs="黑体"/>
          <w:spacing w:val="46"/>
          <w:sz w:val="31"/>
          <w:szCs w:val="31"/>
          <w:u w:val="single" w:color="auto"/>
        </w:rPr>
        <w:t xml:space="preserve"> </w:t>
      </w:r>
      <w:r>
        <w:rPr>
          <w:rFonts w:ascii="黑体" w:hAnsi="黑体" w:eastAsia="黑体" w:cs="黑体"/>
          <w:b/>
          <w:bCs/>
          <w:spacing w:val="-28"/>
          <w:sz w:val="31"/>
          <w:szCs w:val="31"/>
          <w:u w:val="single" w:color="auto"/>
        </w:rPr>
        <w:t>院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</w:t>
      </w:r>
    </w:p>
    <w:p>
      <w:pPr>
        <w:spacing w:line="366" w:lineRule="auto"/>
        <w:rPr>
          <w:rFonts w:ascii="Arial"/>
          <w:sz w:val="21"/>
        </w:rPr>
      </w:pPr>
    </w:p>
    <w:p>
      <w:pPr>
        <w:spacing w:before="102" w:line="222" w:lineRule="auto"/>
        <w:ind w:left="729"/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</w:pPr>
      <w:r>
        <w:rPr>
          <w:rFonts w:ascii="黑体" w:hAnsi="黑体" w:eastAsia="黑体" w:cs="黑体"/>
          <w:b/>
          <w:bCs/>
          <w:spacing w:val="-21"/>
          <w:w w:val="96"/>
          <w:sz w:val="31"/>
          <w:szCs w:val="31"/>
        </w:rPr>
        <w:t>推荐单位</w:t>
      </w:r>
      <w:r>
        <w:rPr>
          <w:rFonts w:ascii="黑体" w:hAnsi="黑体" w:eastAsia="黑体" w:cs="黑体"/>
          <w:spacing w:val="-13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  <w:u w:val="single" w:color="auto"/>
        </w:rPr>
        <w:t xml:space="preserve">         </w:t>
      </w:r>
      <w:r>
        <w:rPr>
          <w:rFonts w:hint="eastAsia" w:ascii="黑体" w:hAnsi="黑体" w:eastAsia="黑体" w:cs="黑体"/>
          <w:b/>
          <w:bCs/>
          <w:spacing w:val="-28"/>
          <w:sz w:val="31"/>
          <w:szCs w:val="31"/>
          <w:u w:val="single" w:color="auto"/>
          <w:lang w:val="en-US" w:eastAsia="zh-Hans"/>
        </w:rPr>
        <w:t>中</w:t>
      </w:r>
      <w:r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8"/>
          <w:sz w:val="31"/>
          <w:szCs w:val="31"/>
          <w:u w:val="single" w:color="auto"/>
          <w:lang w:val="en-US" w:eastAsia="zh-Hans"/>
        </w:rPr>
        <w:t>国</w:t>
      </w:r>
      <w:r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8"/>
          <w:sz w:val="31"/>
          <w:szCs w:val="31"/>
          <w:u w:val="single" w:color="auto"/>
          <w:lang w:val="en-US" w:eastAsia="zh-Hans"/>
        </w:rPr>
        <w:t>法</w:t>
      </w:r>
      <w:r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8"/>
          <w:sz w:val="31"/>
          <w:szCs w:val="31"/>
          <w:u w:val="single" w:color="auto"/>
          <w:lang w:val="en-US" w:eastAsia="zh-Hans"/>
        </w:rPr>
        <w:t>学</w:t>
      </w:r>
      <w:r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8"/>
          <w:sz w:val="31"/>
          <w:szCs w:val="31"/>
          <w:u w:val="single" w:color="auto"/>
          <w:lang w:val="en-US" w:eastAsia="zh-Hans"/>
        </w:rPr>
        <w:t>会</w:t>
      </w:r>
      <w:r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8"/>
          <w:sz w:val="31"/>
          <w:szCs w:val="31"/>
          <w:u w:val="single" w:color="auto"/>
          <w:lang w:val="en-US" w:eastAsia="zh-Hans"/>
        </w:rPr>
        <w:t>商</w:t>
      </w:r>
      <w:r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8"/>
          <w:sz w:val="31"/>
          <w:szCs w:val="31"/>
          <w:u w:val="single" w:color="auto"/>
          <w:lang w:val="en-US" w:eastAsia="zh-Hans"/>
        </w:rPr>
        <w:t>法</w:t>
      </w:r>
      <w:r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8"/>
          <w:sz w:val="31"/>
          <w:szCs w:val="31"/>
          <w:u w:val="single" w:color="auto"/>
          <w:lang w:val="en-US" w:eastAsia="zh-Hans"/>
        </w:rPr>
        <w:t>学</w:t>
      </w:r>
      <w:r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8"/>
          <w:sz w:val="31"/>
          <w:szCs w:val="31"/>
          <w:u w:val="single" w:color="auto"/>
          <w:lang w:val="en-US" w:eastAsia="zh-Hans"/>
        </w:rPr>
        <w:t>研</w:t>
      </w:r>
      <w:r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8"/>
          <w:sz w:val="31"/>
          <w:szCs w:val="31"/>
          <w:u w:val="single" w:color="auto"/>
          <w:lang w:val="en-US" w:eastAsia="zh-Hans"/>
        </w:rPr>
        <w:t>究</w:t>
      </w:r>
      <w:r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8"/>
          <w:sz w:val="31"/>
          <w:szCs w:val="31"/>
          <w:u w:val="single" w:color="auto"/>
          <w:lang w:val="en-US" w:eastAsia="zh-Hans"/>
        </w:rPr>
        <w:t>会</w:t>
      </w:r>
      <w:r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  <w:t xml:space="preserve">        </w:t>
      </w:r>
    </w:p>
    <w:p>
      <w:pPr>
        <w:spacing w:before="102" w:line="222" w:lineRule="auto"/>
        <w:ind w:left="729" w:right="569" w:rightChars="271" w:firstLine="1021" w:firstLineChars="400"/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</w:pPr>
      <w:r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  <w:t xml:space="preserve">               </w:t>
      </w:r>
      <w:r>
        <w:rPr>
          <w:rFonts w:hint="eastAsia" w:ascii="黑体" w:hAnsi="黑体" w:eastAsia="黑体" w:cs="黑体"/>
          <w:b/>
          <w:bCs/>
          <w:spacing w:val="-28"/>
          <w:sz w:val="31"/>
          <w:szCs w:val="31"/>
          <w:u w:val="single" w:color="auto"/>
          <w:lang w:val="en-US" w:eastAsia="zh-Hans"/>
        </w:rPr>
        <w:t>中</w:t>
      </w:r>
      <w:r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8"/>
          <w:sz w:val="31"/>
          <w:szCs w:val="31"/>
          <w:u w:val="single" w:color="auto"/>
          <w:lang w:val="en-US" w:eastAsia="zh-Hans"/>
        </w:rPr>
        <w:t>国</w:t>
      </w:r>
      <w:r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8"/>
          <w:sz w:val="31"/>
          <w:szCs w:val="31"/>
          <w:u w:val="single" w:color="auto"/>
          <w:lang w:val="en-US" w:eastAsia="zh-Hans"/>
        </w:rPr>
        <w:t>商</w:t>
      </w:r>
      <w:r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8"/>
          <w:sz w:val="31"/>
          <w:szCs w:val="31"/>
          <w:u w:val="single" w:color="auto"/>
          <w:lang w:val="en-US" w:eastAsia="zh-Hans"/>
        </w:rPr>
        <w:t>业</w:t>
      </w:r>
      <w:r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8"/>
          <w:sz w:val="31"/>
          <w:szCs w:val="31"/>
          <w:u w:val="single" w:color="auto"/>
          <w:lang w:val="en-US" w:eastAsia="zh-Hans"/>
        </w:rPr>
        <w:t>法</w:t>
      </w:r>
      <w:r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8"/>
          <w:sz w:val="31"/>
          <w:szCs w:val="31"/>
          <w:u w:val="single" w:color="auto"/>
          <w:lang w:val="en-US" w:eastAsia="zh-Hans"/>
        </w:rPr>
        <w:t>研</w:t>
      </w:r>
      <w:r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8"/>
          <w:sz w:val="31"/>
          <w:szCs w:val="31"/>
          <w:u w:val="single" w:color="auto"/>
          <w:lang w:val="en-US" w:eastAsia="zh-Hans"/>
        </w:rPr>
        <w:t>究</w:t>
      </w:r>
      <w:r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8"/>
          <w:sz w:val="31"/>
          <w:szCs w:val="31"/>
          <w:u w:val="single" w:color="auto"/>
          <w:lang w:val="en-US" w:eastAsia="zh-Hans"/>
        </w:rPr>
        <w:t>会</w:t>
      </w:r>
      <w:r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  <w:t xml:space="preserve">                   </w:t>
      </w:r>
    </w:p>
    <w:p>
      <w:pPr>
        <w:spacing w:before="102" w:line="222" w:lineRule="auto"/>
        <w:ind w:left="729" w:right="548" w:rightChars="261" w:firstLine="1021" w:firstLineChars="400"/>
        <w:rPr>
          <w:rFonts w:ascii="黑体" w:hAnsi="黑体" w:eastAsia="黑体" w:cs="黑体"/>
          <w:b/>
          <w:bCs/>
          <w:spacing w:val="-28"/>
          <w:sz w:val="31"/>
          <w:szCs w:val="31"/>
          <w:u w:val="single" w:color="auto"/>
        </w:rPr>
      </w:pPr>
      <w:r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  <w:t xml:space="preserve">       </w:t>
      </w:r>
      <w:r>
        <w:rPr>
          <w:rFonts w:hint="eastAsia" w:ascii="黑体" w:hAnsi="黑体" w:eastAsia="黑体" w:cs="黑体"/>
          <w:b/>
          <w:bCs/>
          <w:spacing w:val="-28"/>
          <w:sz w:val="31"/>
          <w:szCs w:val="31"/>
          <w:u w:val="single" w:color="auto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/>
          <w:bCs/>
          <w:spacing w:val="-28"/>
          <w:sz w:val="31"/>
          <w:szCs w:val="31"/>
          <w:u w:val="single" w:color="auto"/>
          <w:lang w:val="en-US" w:eastAsia="zh-Hans"/>
        </w:rPr>
        <w:t>中</w:t>
      </w:r>
      <w:r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8"/>
          <w:sz w:val="31"/>
          <w:szCs w:val="31"/>
          <w:u w:val="single" w:color="auto"/>
          <w:lang w:val="en-US" w:eastAsia="zh-Hans"/>
        </w:rPr>
        <w:t>国</w:t>
      </w:r>
      <w:r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8"/>
          <w:sz w:val="31"/>
          <w:szCs w:val="31"/>
          <w:u w:val="single" w:color="auto"/>
          <w:lang w:val="en-US" w:eastAsia="zh-Hans"/>
        </w:rPr>
        <w:t>法</w:t>
      </w:r>
      <w:r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8"/>
          <w:sz w:val="31"/>
          <w:szCs w:val="31"/>
          <w:u w:val="single" w:color="auto"/>
          <w:lang w:val="en-US" w:eastAsia="zh-Hans"/>
        </w:rPr>
        <w:t>学</w:t>
      </w:r>
      <w:r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8"/>
          <w:sz w:val="31"/>
          <w:szCs w:val="31"/>
          <w:u w:val="single" w:color="auto"/>
          <w:lang w:val="en-US" w:eastAsia="zh-Hans"/>
        </w:rPr>
        <w:t>会</w:t>
      </w:r>
      <w:r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8"/>
          <w:sz w:val="31"/>
          <w:szCs w:val="31"/>
          <w:u w:val="single" w:color="auto"/>
          <w:lang w:val="en-US" w:eastAsia="zh-Hans"/>
        </w:rPr>
        <w:t>案</w:t>
      </w:r>
      <w:r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8"/>
          <w:sz w:val="31"/>
          <w:szCs w:val="31"/>
          <w:u w:val="single" w:color="auto"/>
          <w:lang w:val="en-US" w:eastAsia="zh-Hans"/>
        </w:rPr>
        <w:t>例</w:t>
      </w:r>
      <w:r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8"/>
          <w:sz w:val="31"/>
          <w:szCs w:val="31"/>
          <w:u w:val="single" w:color="auto"/>
          <w:lang w:val="en-US" w:eastAsia="zh-Hans"/>
        </w:rPr>
        <w:t>法</w:t>
      </w:r>
      <w:r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8"/>
          <w:sz w:val="31"/>
          <w:szCs w:val="31"/>
          <w:u w:val="single" w:color="auto"/>
          <w:lang w:val="en-US" w:eastAsia="zh-Hans"/>
        </w:rPr>
        <w:t>学</w:t>
      </w:r>
      <w:r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8"/>
          <w:sz w:val="31"/>
          <w:szCs w:val="31"/>
          <w:u w:val="single" w:color="auto"/>
          <w:lang w:val="en-US" w:eastAsia="zh-Hans"/>
        </w:rPr>
        <w:t>研</w:t>
      </w:r>
      <w:r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8"/>
          <w:sz w:val="31"/>
          <w:szCs w:val="31"/>
          <w:u w:val="single" w:color="auto"/>
          <w:lang w:val="en-US" w:eastAsia="zh-Hans"/>
        </w:rPr>
        <w:t>究</w:t>
      </w:r>
      <w:r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pacing w:val="-28"/>
          <w:sz w:val="31"/>
          <w:szCs w:val="31"/>
          <w:u w:val="single" w:color="auto"/>
          <w:lang w:val="en-US" w:eastAsia="zh-Hans"/>
        </w:rPr>
        <w:t xml:space="preserve">会 </w:t>
      </w:r>
      <w:r>
        <w:rPr>
          <w:rFonts w:hint="default" w:ascii="黑体" w:hAnsi="黑体" w:eastAsia="黑体" w:cs="黑体"/>
          <w:b/>
          <w:bCs/>
          <w:spacing w:val="-28"/>
          <w:sz w:val="31"/>
          <w:szCs w:val="31"/>
          <w:u w:val="single" w:color="auto"/>
          <w:lang w:eastAsia="zh-Hans"/>
        </w:rPr>
        <w:t xml:space="preserve">         </w:t>
      </w:r>
      <w:r>
        <w:rPr>
          <w:rFonts w:hint="eastAsia" w:ascii="黑体" w:hAnsi="黑体" w:eastAsia="黑体" w:cs="黑体"/>
          <w:b/>
          <w:bCs/>
          <w:spacing w:val="-28"/>
          <w:sz w:val="31"/>
          <w:szCs w:val="31"/>
          <w:u w:val="single" w:color="auto"/>
          <w:lang w:val="en-US" w:eastAsia="zh-Hans"/>
        </w:rPr>
        <w:t xml:space="preserve">  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219" w:lineRule="auto"/>
        <w:ind w:left="338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中国法学会</w:t>
      </w:r>
    </w:p>
    <w:p>
      <w:pPr>
        <w:spacing w:before="134" w:line="219" w:lineRule="auto"/>
        <w:ind w:left="292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3"/>
          <w:sz w:val="31"/>
          <w:szCs w:val="31"/>
        </w:rPr>
        <w:t>2022年12月印制</w:t>
      </w:r>
    </w:p>
    <w:p>
      <w:pPr>
        <w:sectPr>
          <w:pgSz w:w="11900" w:h="16830"/>
          <w:pgMar w:top="1430" w:right="1785" w:bottom="0" w:left="1785" w:header="0" w:footer="0" w:gutter="0"/>
          <w:cols w:space="720" w:num="1"/>
        </w:sect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110" w:line="223" w:lineRule="auto"/>
        <w:ind w:left="304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b/>
          <w:bCs/>
          <w:spacing w:val="-23"/>
          <w:sz w:val="34"/>
          <w:szCs w:val="34"/>
        </w:rPr>
        <w:t>填</w:t>
      </w:r>
      <w:r>
        <w:rPr>
          <w:rFonts w:ascii="仿宋" w:hAnsi="仿宋" w:eastAsia="仿宋" w:cs="仿宋"/>
          <w:spacing w:val="127"/>
          <w:sz w:val="34"/>
          <w:szCs w:val="34"/>
        </w:rPr>
        <w:t xml:space="preserve"> </w:t>
      </w:r>
      <w:r>
        <w:rPr>
          <w:rFonts w:ascii="仿宋" w:hAnsi="仿宋" w:eastAsia="仿宋" w:cs="仿宋"/>
          <w:b/>
          <w:bCs/>
          <w:spacing w:val="-23"/>
          <w:sz w:val="34"/>
          <w:szCs w:val="34"/>
        </w:rPr>
        <w:t>表</w:t>
      </w:r>
      <w:r>
        <w:rPr>
          <w:rFonts w:ascii="仿宋" w:hAnsi="仿宋" w:eastAsia="仿宋" w:cs="仿宋"/>
          <w:spacing w:val="135"/>
          <w:sz w:val="34"/>
          <w:szCs w:val="34"/>
        </w:rPr>
        <w:t xml:space="preserve"> </w:t>
      </w:r>
      <w:r>
        <w:rPr>
          <w:rFonts w:ascii="仿宋" w:hAnsi="仿宋" w:eastAsia="仿宋" w:cs="仿宋"/>
          <w:b/>
          <w:bCs/>
          <w:spacing w:val="-23"/>
          <w:sz w:val="34"/>
          <w:szCs w:val="34"/>
        </w:rPr>
        <w:t>说</w:t>
      </w:r>
      <w:r>
        <w:rPr>
          <w:rFonts w:ascii="仿宋" w:hAnsi="仿宋" w:eastAsia="仿宋" w:cs="仿宋"/>
          <w:spacing w:val="144"/>
          <w:sz w:val="34"/>
          <w:szCs w:val="34"/>
        </w:rPr>
        <w:t xml:space="preserve"> </w:t>
      </w:r>
      <w:r>
        <w:rPr>
          <w:rFonts w:ascii="仿宋" w:hAnsi="仿宋" w:eastAsia="仿宋" w:cs="仿宋"/>
          <w:b/>
          <w:bCs/>
          <w:spacing w:val="-23"/>
          <w:sz w:val="34"/>
          <w:szCs w:val="34"/>
        </w:rPr>
        <w:t>明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85" w:line="383" w:lineRule="auto"/>
        <w:ind w:left="165" w:right="222" w:firstLine="529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3"/>
          <w:sz w:val="26"/>
          <w:szCs w:val="26"/>
        </w:rPr>
        <w:t>一</w:t>
      </w:r>
      <w:r>
        <w:rPr>
          <w:rFonts w:ascii="仿宋" w:hAnsi="仿宋" w:eastAsia="仿宋" w:cs="仿宋"/>
          <w:spacing w:val="-7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3"/>
          <w:sz w:val="26"/>
          <w:szCs w:val="26"/>
        </w:rPr>
        <w:t>、表一为推荐单位填写或指导推荐候选人填</w:t>
      </w:r>
      <w:r>
        <w:rPr>
          <w:rFonts w:ascii="仿宋" w:hAnsi="仿宋" w:eastAsia="仿宋" w:cs="仿宋"/>
          <w:spacing w:val="2"/>
          <w:sz w:val="26"/>
          <w:szCs w:val="26"/>
        </w:rPr>
        <w:t>写，表二为推荐候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3"/>
          <w:sz w:val="26"/>
          <w:szCs w:val="26"/>
        </w:rPr>
        <w:t>选人工作单位上级党委(党组)填写并盖章，表三为推荐候选人工作</w:t>
      </w:r>
    </w:p>
    <w:p>
      <w:pPr>
        <w:spacing w:line="220" w:lineRule="auto"/>
        <w:ind w:left="165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7"/>
          <w:sz w:val="26"/>
          <w:szCs w:val="26"/>
        </w:rPr>
        <w:t>单位上级纪检监察部门填写并盖章，表四为推荐单位填写并盖章。</w:t>
      </w:r>
    </w:p>
    <w:p>
      <w:pPr>
        <w:spacing w:before="230" w:line="376" w:lineRule="auto"/>
        <w:ind w:left="165" w:right="221" w:firstLine="529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5"/>
          <w:sz w:val="26"/>
          <w:szCs w:val="26"/>
        </w:rPr>
        <w:t>例如，推荐候选人为某大学法学院教授的，表</w:t>
      </w:r>
      <w:r>
        <w:rPr>
          <w:rFonts w:ascii="仿宋" w:hAnsi="仿宋" w:eastAsia="仿宋" w:cs="仿宋"/>
          <w:spacing w:val="4"/>
          <w:sz w:val="26"/>
          <w:szCs w:val="26"/>
        </w:rPr>
        <w:t>二应由该大学党委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5"/>
          <w:sz w:val="26"/>
          <w:szCs w:val="26"/>
        </w:rPr>
        <w:t>填写并盖章，表三应由该大学纪委填写并盖章，表四</w:t>
      </w:r>
      <w:r>
        <w:rPr>
          <w:rFonts w:ascii="仿宋" w:hAnsi="仿宋" w:eastAsia="仿宋" w:cs="仿宋"/>
          <w:spacing w:val="4"/>
          <w:sz w:val="26"/>
          <w:szCs w:val="26"/>
        </w:rPr>
        <w:t>应由该大学法学</w:t>
      </w:r>
    </w:p>
    <w:p>
      <w:pPr>
        <w:spacing w:line="220" w:lineRule="auto"/>
        <w:ind w:left="165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2"/>
          <w:sz w:val="26"/>
          <w:szCs w:val="26"/>
        </w:rPr>
        <w:t>院填写并盖章。</w:t>
      </w:r>
    </w:p>
    <w:p>
      <w:pPr>
        <w:spacing w:before="240" w:line="533" w:lineRule="exact"/>
        <w:ind w:left="694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9"/>
          <w:position w:val="20"/>
          <w:sz w:val="26"/>
          <w:szCs w:val="26"/>
        </w:rPr>
        <w:t>二、推荐单位需填写推荐评选委员会投票情况、推荐意见(每人</w:t>
      </w:r>
    </w:p>
    <w:p>
      <w:pPr>
        <w:spacing w:line="222" w:lineRule="auto"/>
        <w:ind w:left="165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2"/>
          <w:sz w:val="26"/>
          <w:szCs w:val="26"/>
        </w:rPr>
        <w:t>500字以内)。</w:t>
      </w:r>
    </w:p>
    <w:p>
      <w:pPr>
        <w:spacing w:before="214" w:line="533" w:lineRule="exact"/>
        <w:ind w:left="694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3"/>
          <w:position w:val="20"/>
          <w:sz w:val="26"/>
          <w:szCs w:val="26"/>
        </w:rPr>
        <w:t>三、</w:t>
      </w:r>
      <w:r>
        <w:rPr>
          <w:rFonts w:ascii="仿宋" w:hAnsi="仿宋" w:eastAsia="仿宋" w:cs="仿宋"/>
          <w:spacing w:val="-76"/>
          <w:position w:val="2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3"/>
          <w:position w:val="20"/>
          <w:sz w:val="26"/>
          <w:szCs w:val="26"/>
        </w:rPr>
        <w:t>请用计算机填写，可根据实际需要分栏，但勿随意变</w:t>
      </w:r>
      <w:r>
        <w:rPr>
          <w:rFonts w:ascii="仿宋" w:hAnsi="仿宋" w:eastAsia="仿宋" w:cs="仿宋"/>
          <w:spacing w:val="2"/>
          <w:position w:val="20"/>
          <w:sz w:val="26"/>
          <w:szCs w:val="26"/>
        </w:rPr>
        <w:t>动格式</w:t>
      </w:r>
    </w:p>
    <w:p>
      <w:pPr>
        <w:spacing w:line="222" w:lineRule="auto"/>
        <w:ind w:left="165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"/>
          <w:sz w:val="26"/>
          <w:szCs w:val="26"/>
        </w:rPr>
        <w:t>及字体字号。</w:t>
      </w:r>
    </w:p>
    <w:p>
      <w:pPr>
        <w:spacing w:before="213" w:line="377" w:lineRule="auto"/>
        <w:ind w:left="165" w:right="212" w:firstLine="529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7"/>
          <w:sz w:val="26"/>
          <w:szCs w:val="26"/>
        </w:rPr>
        <w:t>四、请各推荐单位于2023年3月20日之前，将本表电子版发至</w:t>
      </w:r>
      <w:r>
        <w:rPr>
          <w:rFonts w:ascii="仿宋" w:hAnsi="仿宋" w:eastAsia="仿宋" w:cs="仿宋"/>
          <w:spacing w:val="9"/>
          <w:sz w:val="26"/>
          <w:szCs w:val="26"/>
        </w:rPr>
        <w:t xml:space="preserve"> 指定邮箱。纸质版以A4</w:t>
      </w:r>
      <w:r>
        <w:rPr>
          <w:rFonts w:ascii="仿宋" w:hAnsi="仿宋" w:eastAsia="仿宋" w:cs="仿宋"/>
          <w:spacing w:val="-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9"/>
          <w:sz w:val="26"/>
          <w:szCs w:val="26"/>
        </w:rPr>
        <w:t>纸打印一式四份，连同推荐评选情况报告、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0"/>
          <w:sz w:val="26"/>
          <w:szCs w:val="26"/>
        </w:rPr>
        <w:t>推荐候选人身份证复印件、推荐候选人代表性学术专著1-2</w:t>
      </w:r>
      <w:r>
        <w:rPr>
          <w:rFonts w:ascii="仿宋" w:hAnsi="仿宋" w:eastAsia="仿宋" w:cs="仿宋"/>
          <w:spacing w:val="-1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0"/>
          <w:sz w:val="26"/>
          <w:szCs w:val="26"/>
        </w:rPr>
        <w:t>部</w:t>
      </w:r>
      <w:r>
        <w:rPr>
          <w:rFonts w:ascii="仿宋" w:hAnsi="仿宋" w:eastAsia="仿宋" w:cs="仿宋"/>
          <w:spacing w:val="4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0"/>
          <w:sz w:val="26"/>
          <w:szCs w:val="26"/>
        </w:rPr>
        <w:t>(</w:t>
      </w:r>
      <w:r>
        <w:rPr>
          <w:rFonts w:ascii="仿宋" w:hAnsi="仿宋" w:eastAsia="仿宋" w:cs="仿宋"/>
          <w:spacing w:val="-34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0"/>
          <w:sz w:val="26"/>
          <w:szCs w:val="26"/>
        </w:rPr>
        <w:t>独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3"/>
          <w:sz w:val="26"/>
          <w:szCs w:val="26"/>
        </w:rPr>
        <w:t>著)、学术论文3-5篇(独著或第一作者)、重要荣誉证书或</w:t>
      </w:r>
      <w:r>
        <w:rPr>
          <w:rFonts w:ascii="仿宋" w:hAnsi="仿宋" w:eastAsia="仿宋" w:cs="仿宋"/>
          <w:spacing w:val="12"/>
          <w:sz w:val="26"/>
          <w:szCs w:val="26"/>
        </w:rPr>
        <w:t>证明复印</w:t>
      </w:r>
    </w:p>
    <w:p>
      <w:pPr>
        <w:spacing w:before="1" w:line="222" w:lineRule="auto"/>
        <w:ind w:left="165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4"/>
          <w:sz w:val="26"/>
          <w:szCs w:val="26"/>
        </w:rPr>
        <w:t>件各一式一份，寄至指定地址。</w:t>
      </w:r>
    </w:p>
    <w:p>
      <w:pPr>
        <w:spacing w:line="359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1"/>
        </w:rPr>
      </w:pPr>
    </w:p>
    <w:p>
      <w:pPr>
        <w:spacing w:before="84" w:line="223" w:lineRule="auto"/>
        <w:ind w:left="694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23"/>
          <w:sz w:val="26"/>
          <w:szCs w:val="26"/>
        </w:rPr>
        <w:t>联系人：魏丽莎于晓航</w:t>
      </w:r>
      <w:r>
        <w:rPr>
          <w:rFonts w:ascii="仿宋" w:hAnsi="仿宋" w:eastAsia="仿宋" w:cs="仿宋"/>
          <w:sz w:val="26"/>
          <w:szCs w:val="26"/>
        </w:rPr>
        <w:t xml:space="preserve">  </w:t>
      </w:r>
      <w:r>
        <w:rPr>
          <w:rFonts w:ascii="仿宋" w:hAnsi="仿宋" w:eastAsia="仿宋" w:cs="仿宋"/>
          <w:spacing w:val="23"/>
          <w:sz w:val="26"/>
          <w:szCs w:val="26"/>
        </w:rPr>
        <w:t>010-66123109</w:t>
      </w:r>
    </w:p>
    <w:p>
      <w:pPr>
        <w:spacing w:before="224" w:line="540" w:lineRule="exact"/>
        <w:ind w:left="694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9"/>
          <w:position w:val="21"/>
          <w:sz w:val="26"/>
          <w:szCs w:val="26"/>
        </w:rPr>
        <w:t>邮寄地址：北京市海淀区皂君庙4号中国法学会研</w:t>
      </w:r>
      <w:r>
        <w:rPr>
          <w:rFonts w:ascii="仿宋" w:hAnsi="仿宋" w:eastAsia="仿宋" w:cs="仿宋"/>
          <w:spacing w:val="8"/>
          <w:position w:val="21"/>
          <w:sz w:val="26"/>
          <w:szCs w:val="26"/>
        </w:rPr>
        <w:t>究部1334室</w:t>
      </w:r>
    </w:p>
    <w:p>
      <w:pPr>
        <w:spacing w:before="1" w:line="221" w:lineRule="auto"/>
        <w:ind w:left="694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z w:val="26"/>
          <w:szCs w:val="26"/>
        </w:rPr>
        <w:t>邮</w:t>
      </w:r>
      <w:r>
        <w:rPr>
          <w:rFonts w:ascii="仿宋" w:hAnsi="仿宋" w:eastAsia="仿宋" w:cs="仿宋"/>
          <w:spacing w:val="11"/>
          <w:sz w:val="26"/>
          <w:szCs w:val="26"/>
        </w:rPr>
        <w:t xml:space="preserve">    </w:t>
      </w:r>
      <w:r>
        <w:rPr>
          <w:rFonts w:ascii="仿宋" w:hAnsi="仿宋" w:eastAsia="仿宋" w:cs="仿宋"/>
          <w:sz w:val="26"/>
          <w:szCs w:val="26"/>
        </w:rPr>
        <w:t>编：100081</w:t>
      </w:r>
    </w:p>
    <w:p>
      <w:pPr>
        <w:spacing w:before="219" w:line="216" w:lineRule="auto"/>
        <w:ind w:left="694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8"/>
          <w:sz w:val="26"/>
          <w:szCs w:val="26"/>
        </w:rPr>
        <w:t>电子邮箱：</w:t>
      </w:r>
      <w:r>
        <w:rPr>
          <w:rFonts w:ascii="仿宋" w:hAnsi="仿宋" w:eastAsia="仿宋" w:cs="仿宋"/>
          <w:spacing w:val="5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8"/>
          <w:sz w:val="26"/>
          <w:szCs w:val="26"/>
        </w:rPr>
        <w:t>qnfxj2022@163.com</w:t>
      </w:r>
    </w:p>
    <w:p>
      <w:pPr>
        <w:sectPr>
          <w:pgSz w:w="11900" w:h="16830"/>
          <w:pgMar w:top="1430" w:right="1785" w:bottom="0" w:left="1785" w:header="0" w:footer="0" w:gutter="0"/>
          <w:cols w:space="720" w:num="1"/>
        </w:sectPr>
      </w:pPr>
    </w:p>
    <w:tbl>
      <w:tblPr>
        <w:tblStyle w:val="4"/>
        <w:tblW w:w="8659" w:type="dxa"/>
        <w:tblInd w:w="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2027"/>
        <w:gridCol w:w="1228"/>
        <w:gridCol w:w="1958"/>
        <w:gridCol w:w="1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8659" w:type="dxa"/>
            <w:gridSpan w:val="5"/>
            <w:vAlign w:val="top"/>
          </w:tcPr>
          <w:p>
            <w:pPr>
              <w:spacing w:before="291" w:line="219" w:lineRule="auto"/>
              <w:ind w:left="9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color w:val="00384D"/>
                <w:spacing w:val="-5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43" w:type="dxa"/>
            <w:vAlign w:val="top"/>
          </w:tcPr>
          <w:p>
            <w:pPr>
              <w:spacing w:before="81" w:line="219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3956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3956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2027" w:type="dxa"/>
            <w:vAlign w:val="top"/>
          </w:tcPr>
          <w:p>
            <w:pPr>
              <w:spacing w:before="84" w:line="221" w:lineRule="auto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罗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昆</w:t>
            </w:r>
          </w:p>
        </w:tc>
        <w:tc>
          <w:tcPr>
            <w:tcW w:w="1228" w:type="dxa"/>
            <w:vAlign w:val="top"/>
          </w:tcPr>
          <w:p>
            <w:pPr>
              <w:spacing w:before="81" w:line="220" w:lineRule="auto"/>
              <w:ind w:left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别</w:t>
            </w:r>
          </w:p>
        </w:tc>
        <w:tc>
          <w:tcPr>
            <w:tcW w:w="1958" w:type="dxa"/>
            <w:vAlign w:val="top"/>
          </w:tcPr>
          <w:p>
            <w:pPr>
              <w:spacing w:before="81" w:line="220" w:lineRule="auto"/>
              <w:ind w:left="8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903" w:type="dxa"/>
            <w:vMerge w:val="restart"/>
            <w:tcBorders>
              <w:bottom w:val="nil"/>
            </w:tcBorders>
            <w:vAlign w:val="top"/>
          </w:tcPr>
          <w:p>
            <w:pPr>
              <w:spacing w:line="2651" w:lineRule="exact"/>
              <w:ind w:firstLine="19"/>
              <w:textAlignment w:val="center"/>
            </w:pPr>
            <w:r>
              <w:drawing>
                <wp:inline distT="0" distB="0" distL="0" distR="0">
                  <wp:extent cx="1161415" cy="1683385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38" cy="1683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43" w:type="dxa"/>
            <w:vAlign w:val="top"/>
          </w:tcPr>
          <w:p>
            <w:pPr>
              <w:spacing w:before="121" w:line="220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出生日期</w:t>
            </w:r>
          </w:p>
        </w:tc>
        <w:tc>
          <w:tcPr>
            <w:tcW w:w="2027" w:type="dxa"/>
            <w:vAlign w:val="top"/>
          </w:tcPr>
          <w:p>
            <w:pPr>
              <w:spacing w:before="181" w:line="184" w:lineRule="auto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1978.10.5</w:t>
            </w:r>
          </w:p>
        </w:tc>
        <w:tc>
          <w:tcPr>
            <w:tcW w:w="1228" w:type="dxa"/>
            <w:vAlign w:val="top"/>
          </w:tcPr>
          <w:p>
            <w:pPr>
              <w:spacing w:before="122" w:line="221" w:lineRule="auto"/>
              <w:ind w:left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族</w:t>
            </w:r>
          </w:p>
        </w:tc>
        <w:tc>
          <w:tcPr>
            <w:tcW w:w="1958" w:type="dxa"/>
            <w:vAlign w:val="top"/>
          </w:tcPr>
          <w:p>
            <w:pPr>
              <w:spacing w:before="124" w:line="221" w:lineRule="auto"/>
              <w:ind w:left="8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汉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43" w:type="dxa"/>
            <w:vAlign w:val="top"/>
          </w:tcPr>
          <w:p>
            <w:pPr>
              <w:spacing w:before="110" w:line="219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2027" w:type="dxa"/>
            <w:vAlign w:val="top"/>
          </w:tcPr>
          <w:p>
            <w:pPr>
              <w:spacing w:before="112" w:line="219" w:lineRule="auto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中共党员</w:t>
            </w:r>
          </w:p>
        </w:tc>
        <w:tc>
          <w:tcPr>
            <w:tcW w:w="1228" w:type="dxa"/>
            <w:vAlign w:val="top"/>
          </w:tcPr>
          <w:p>
            <w:pPr>
              <w:spacing w:before="113" w:line="221" w:lineRule="auto"/>
              <w:ind w:left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历</w:t>
            </w:r>
          </w:p>
        </w:tc>
        <w:tc>
          <w:tcPr>
            <w:tcW w:w="1958" w:type="dxa"/>
            <w:vAlign w:val="top"/>
          </w:tcPr>
          <w:p>
            <w:pPr>
              <w:spacing w:before="110" w:line="219" w:lineRule="auto"/>
              <w:ind w:left="3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3854"/>
                <w:spacing w:val="2"/>
                <w:sz w:val="24"/>
                <w:szCs w:val="24"/>
              </w:rPr>
              <w:t>博士研究生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43" w:type="dxa"/>
            <w:vAlign w:val="top"/>
          </w:tcPr>
          <w:p>
            <w:pPr>
              <w:spacing w:before="102" w:line="219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2940"/>
                <w:spacing w:val="3"/>
                <w:sz w:val="24"/>
                <w:szCs w:val="24"/>
              </w:rPr>
              <w:t>技术职称</w:t>
            </w:r>
          </w:p>
        </w:tc>
        <w:tc>
          <w:tcPr>
            <w:tcW w:w="2027" w:type="dxa"/>
            <w:vAlign w:val="top"/>
          </w:tcPr>
          <w:p>
            <w:pPr>
              <w:spacing w:before="102" w:line="219" w:lineRule="auto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3151"/>
                <w:spacing w:val="3"/>
                <w:sz w:val="24"/>
                <w:szCs w:val="24"/>
              </w:rPr>
              <w:t>教授、博导</w:t>
            </w:r>
          </w:p>
        </w:tc>
        <w:tc>
          <w:tcPr>
            <w:tcW w:w="1228" w:type="dxa"/>
            <w:vAlign w:val="top"/>
          </w:tcPr>
          <w:p>
            <w:pPr>
              <w:spacing w:before="102" w:line="219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2E42"/>
                <w:spacing w:val="2"/>
                <w:sz w:val="24"/>
                <w:szCs w:val="24"/>
              </w:rPr>
              <w:t>行政职务</w:t>
            </w:r>
          </w:p>
        </w:tc>
        <w:tc>
          <w:tcPr>
            <w:tcW w:w="1958" w:type="dxa"/>
            <w:vAlign w:val="top"/>
          </w:tcPr>
          <w:p>
            <w:pPr>
              <w:spacing w:before="100" w:line="219" w:lineRule="auto"/>
              <w:ind w:left="2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3045"/>
                <w:spacing w:val="-2"/>
                <w:sz w:val="24"/>
                <w:szCs w:val="24"/>
              </w:rPr>
              <w:t>研究中心主任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43" w:type="dxa"/>
            <w:vAlign w:val="top"/>
          </w:tcPr>
          <w:p>
            <w:pPr>
              <w:spacing w:before="103" w:line="220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3045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5213" w:type="dxa"/>
            <w:gridSpan w:val="3"/>
            <w:vAlign w:val="top"/>
          </w:tcPr>
          <w:p>
            <w:pPr>
              <w:spacing w:before="103" w:line="220" w:lineRule="auto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273A"/>
                <w:spacing w:val="2"/>
                <w:sz w:val="24"/>
                <w:szCs w:val="24"/>
              </w:rPr>
              <w:t>武汉大学法学院</w:t>
            </w:r>
          </w:p>
        </w:tc>
        <w:tc>
          <w:tcPr>
            <w:tcW w:w="19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43" w:type="dxa"/>
            <w:vAlign w:val="top"/>
          </w:tcPr>
          <w:p>
            <w:pPr>
              <w:spacing w:before="111" w:line="227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233B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7116" w:type="dxa"/>
            <w:gridSpan w:val="4"/>
            <w:vAlign w:val="top"/>
          </w:tcPr>
          <w:p>
            <w:pPr>
              <w:spacing w:before="103" w:line="219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湖北省武汉市武昌区八一路299号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30"/>
          <w:pgMar w:top="1344" w:right="1375" w:bottom="0" w:left="1785" w:header="0" w:footer="0" w:gutter="0"/>
          <w:cols w:space="720" w:num="1"/>
        </w:sectPr>
      </w:pPr>
    </w:p>
    <w:p>
      <w:pPr>
        <w:spacing w:line="214" w:lineRule="exact"/>
      </w:pPr>
    </w:p>
    <w:tbl>
      <w:tblPr>
        <w:tblStyle w:val="4"/>
        <w:tblW w:w="8729" w:type="dxa"/>
        <w:tblInd w:w="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9" w:hRule="atLeast"/>
        </w:trPr>
        <w:tc>
          <w:tcPr>
            <w:tcW w:w="8729" w:type="dxa"/>
            <w:vAlign w:val="top"/>
          </w:tcPr>
          <w:p>
            <w:pPr>
              <w:spacing w:before="211" w:line="219" w:lineRule="auto"/>
              <w:ind w:left="34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3"/>
                <w:szCs w:val="23"/>
              </w:rPr>
              <w:t>重</w:t>
            </w:r>
            <w:r>
              <w:rPr>
                <w:rFonts w:ascii="宋体" w:hAnsi="宋体" w:eastAsia="宋体" w:cs="宋体"/>
                <w:spacing w:val="-2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3"/>
                <w:szCs w:val="23"/>
              </w:rPr>
              <w:t>要</w:t>
            </w:r>
            <w:r>
              <w:rPr>
                <w:rFonts w:ascii="宋体" w:hAnsi="宋体" w:eastAsia="宋体" w:cs="宋体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-2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3"/>
                <w:szCs w:val="23"/>
              </w:rPr>
              <w:t>术</w:t>
            </w:r>
            <w:r>
              <w:rPr>
                <w:rFonts w:ascii="宋体" w:hAnsi="宋体" w:eastAsia="宋体" w:cs="宋体"/>
                <w:spacing w:val="-2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3"/>
                <w:szCs w:val="23"/>
              </w:rPr>
              <w:t>成</w:t>
            </w:r>
            <w:r>
              <w:rPr>
                <w:rFonts w:ascii="宋体" w:hAnsi="宋体" w:eastAsia="宋体" w:cs="宋体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3"/>
                <w:szCs w:val="23"/>
              </w:rPr>
              <w:t>果</w:t>
            </w:r>
          </w:p>
          <w:p>
            <w:pPr>
              <w:spacing w:before="197" w:line="219" w:lineRule="auto"/>
              <w:ind w:left="538"/>
              <w:outlineLvl w:val="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3"/>
                <w:szCs w:val="23"/>
              </w:rPr>
              <w:t>一、代表性著作</w:t>
            </w:r>
          </w:p>
          <w:p>
            <w:pPr>
              <w:spacing w:before="147" w:line="216" w:lineRule="auto"/>
              <w:ind w:left="5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《财团法人制度研究》,独著，武汉大学出版社200</w:t>
            </w:r>
            <w:r>
              <w:rPr>
                <w:rFonts w:ascii="宋体" w:hAnsi="宋体" w:eastAsia="宋体" w:cs="宋体"/>
                <w:sz w:val="23"/>
                <w:szCs w:val="23"/>
              </w:rPr>
              <w:t>9年版，22.4万字。</w:t>
            </w:r>
          </w:p>
          <w:p>
            <w:pPr>
              <w:spacing w:before="150" w:line="423" w:lineRule="exact"/>
              <w:ind w:left="5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14"/>
                <w:sz w:val="23"/>
                <w:szCs w:val="23"/>
              </w:rPr>
              <w:t>2.</w:t>
            </w:r>
            <w:r>
              <w:rPr>
                <w:rFonts w:ascii="宋体" w:hAnsi="宋体" w:eastAsia="宋体" w:cs="宋体"/>
                <w:spacing w:val="17"/>
                <w:position w:val="1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14"/>
                <w:sz w:val="23"/>
                <w:szCs w:val="23"/>
              </w:rPr>
              <w:t>《非营利法人的私法规制》,独著，中国社</w:t>
            </w:r>
            <w:r>
              <w:rPr>
                <w:rFonts w:ascii="宋体" w:hAnsi="宋体" w:eastAsia="宋体" w:cs="宋体"/>
                <w:spacing w:val="3"/>
                <w:position w:val="14"/>
                <w:sz w:val="23"/>
                <w:szCs w:val="23"/>
              </w:rPr>
              <w:t>会科学出版社2017年版，28.8万</w:t>
            </w:r>
          </w:p>
          <w:p>
            <w:pPr>
              <w:spacing w:line="219" w:lineRule="auto"/>
              <w:ind w:left="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字</w:t>
            </w:r>
            <w:r>
              <w:rPr>
                <w:rFonts w:ascii="宋体" w:hAnsi="宋体" w:eastAsia="宋体" w:cs="宋体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。</w:t>
            </w:r>
          </w:p>
          <w:p>
            <w:pPr>
              <w:spacing w:before="143" w:line="219" w:lineRule="auto"/>
              <w:ind w:left="538"/>
              <w:outlineLvl w:val="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3"/>
                <w:szCs w:val="23"/>
              </w:rPr>
              <w:t>二、代表性论文</w:t>
            </w:r>
          </w:p>
          <w:p>
            <w:pPr>
              <w:spacing w:before="133" w:line="443" w:lineRule="exact"/>
              <w:ind w:left="5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position w:val="16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27"/>
                <w:position w:val="1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position w:val="16"/>
                <w:sz w:val="23"/>
                <w:szCs w:val="23"/>
              </w:rPr>
              <w:t>《我国民法典法人基本类型模式选择》,载《法学研究》2016年第4期，2.4</w:t>
            </w:r>
          </w:p>
          <w:p>
            <w:pPr>
              <w:spacing w:before="1" w:line="218" w:lineRule="auto"/>
              <w:ind w:left="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3"/>
                <w:szCs w:val="23"/>
              </w:rPr>
              <w:t>万字，被引60次。(人大书报复印资料《民商法学》2016年第11期全文转载)</w:t>
            </w:r>
          </w:p>
          <w:p>
            <w:pPr>
              <w:spacing w:before="138" w:line="444" w:lineRule="exact"/>
              <w:ind w:left="5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16"/>
                <w:sz w:val="23"/>
                <w:szCs w:val="23"/>
              </w:rPr>
              <w:t>2.</w:t>
            </w:r>
            <w:r>
              <w:rPr>
                <w:rFonts w:ascii="宋体" w:hAnsi="宋体" w:eastAsia="宋体" w:cs="宋体"/>
                <w:spacing w:val="18"/>
                <w:position w:val="1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position w:val="16"/>
                <w:sz w:val="23"/>
                <w:szCs w:val="23"/>
              </w:rPr>
              <w:t>《物权法第23条对动产物权变动规则的影响》,载</w:t>
            </w:r>
            <w:r>
              <w:rPr>
                <w:rFonts w:ascii="宋体" w:hAnsi="宋体" w:eastAsia="宋体" w:cs="宋体"/>
                <w:spacing w:val="4"/>
                <w:position w:val="16"/>
                <w:sz w:val="23"/>
                <w:szCs w:val="23"/>
              </w:rPr>
              <w:t>《法学》2009年第5期，2</w:t>
            </w:r>
          </w:p>
          <w:p>
            <w:pPr>
              <w:spacing w:line="219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万字，被引8次。</w:t>
            </w:r>
          </w:p>
          <w:p>
            <w:pPr>
              <w:spacing w:before="133" w:line="434" w:lineRule="exact"/>
              <w:ind w:left="5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15"/>
                <w:sz w:val="23"/>
                <w:szCs w:val="23"/>
              </w:rPr>
              <w:t>3.</w:t>
            </w:r>
            <w:r>
              <w:rPr>
                <w:rFonts w:ascii="宋体" w:hAnsi="宋体" w:eastAsia="宋体" w:cs="宋体"/>
                <w:spacing w:val="22"/>
                <w:position w:val="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position w:val="15"/>
                <w:sz w:val="23"/>
                <w:szCs w:val="23"/>
              </w:rPr>
              <w:t>《物权法第116条适用范围探讨》,载《法学杂志》2009年</w:t>
            </w:r>
            <w:r>
              <w:rPr>
                <w:rFonts w:ascii="宋体" w:hAnsi="宋体" w:eastAsia="宋体" w:cs="宋体"/>
                <w:spacing w:val="6"/>
                <w:position w:val="15"/>
                <w:sz w:val="23"/>
                <w:szCs w:val="23"/>
              </w:rPr>
              <w:t>第10期，1</w:t>
            </w:r>
            <w:r>
              <w:rPr>
                <w:rFonts w:ascii="宋体" w:hAnsi="宋体" w:eastAsia="宋体" w:cs="宋体"/>
                <w:spacing w:val="-65"/>
                <w:position w:val="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position w:val="15"/>
                <w:sz w:val="23"/>
                <w:szCs w:val="23"/>
              </w:rPr>
              <w:t>.6万</w:t>
            </w:r>
          </w:p>
          <w:p>
            <w:pPr>
              <w:spacing w:line="219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字，被引10次。</w:t>
            </w:r>
          </w:p>
          <w:p>
            <w:pPr>
              <w:spacing w:before="153" w:line="424" w:lineRule="exact"/>
              <w:ind w:left="5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4"/>
                <w:sz w:val="23"/>
                <w:szCs w:val="23"/>
              </w:rPr>
              <w:t>4.</w:t>
            </w:r>
            <w:r>
              <w:rPr>
                <w:rFonts w:ascii="宋体" w:hAnsi="宋体" w:eastAsia="宋体" w:cs="宋体"/>
                <w:spacing w:val="14"/>
                <w:position w:val="1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position w:val="14"/>
                <w:sz w:val="23"/>
                <w:szCs w:val="23"/>
              </w:rPr>
              <w:t>《合同效力瑕疵制度中的类型思维及其问题》,载</w:t>
            </w:r>
            <w:r>
              <w:rPr>
                <w:rFonts w:ascii="宋体" w:hAnsi="宋体" w:eastAsia="宋体" w:cs="宋体"/>
                <w:spacing w:val="-1"/>
                <w:position w:val="14"/>
                <w:sz w:val="23"/>
                <w:szCs w:val="23"/>
              </w:rPr>
              <w:t>《法学评论》2010年第6期，</w:t>
            </w:r>
          </w:p>
          <w:p>
            <w:pPr>
              <w:spacing w:line="219" w:lineRule="auto"/>
              <w:ind w:left="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2万字，被引45次。</w:t>
            </w:r>
          </w:p>
          <w:p>
            <w:pPr>
              <w:spacing w:before="104" w:line="443" w:lineRule="exact"/>
              <w:ind w:left="5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position w:val="16"/>
                <w:sz w:val="23"/>
                <w:szCs w:val="23"/>
              </w:rPr>
              <w:t>5.</w:t>
            </w:r>
            <w:r>
              <w:rPr>
                <w:rFonts w:ascii="宋体" w:hAnsi="宋体" w:eastAsia="宋体" w:cs="宋体"/>
                <w:spacing w:val="29"/>
                <w:position w:val="1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6"/>
                <w:sz w:val="23"/>
                <w:szCs w:val="23"/>
              </w:rPr>
              <w:t>《违约金的性质反思与类型重构——一种功能主义的视角》,载《法商研究》</w:t>
            </w:r>
          </w:p>
          <w:p>
            <w:pPr>
              <w:spacing w:before="1" w:line="219" w:lineRule="auto"/>
              <w:ind w:left="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2015年第5期，2.5万字，被引115次。</w:t>
            </w:r>
          </w:p>
          <w:p>
            <w:pPr>
              <w:spacing w:before="140" w:line="432" w:lineRule="exact"/>
              <w:ind w:left="5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position w:val="15"/>
                <w:sz w:val="23"/>
                <w:szCs w:val="23"/>
              </w:rPr>
              <w:t>6.</w:t>
            </w:r>
            <w:r>
              <w:rPr>
                <w:rFonts w:ascii="宋体" w:hAnsi="宋体" w:eastAsia="宋体" w:cs="宋体"/>
                <w:spacing w:val="18"/>
                <w:position w:val="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"/>
                <w:position w:val="15"/>
                <w:sz w:val="23"/>
                <w:szCs w:val="23"/>
              </w:rPr>
              <w:t>《我国违约金司法酌减的限制与排除》,载《法律科学》2016年第2期，</w:t>
            </w:r>
            <w:r>
              <w:rPr>
                <w:rFonts w:ascii="宋体" w:hAnsi="宋体" w:eastAsia="宋体" w:cs="宋体"/>
                <w:b/>
                <w:bCs/>
                <w:spacing w:val="1"/>
                <w:position w:val="15"/>
                <w:sz w:val="23"/>
                <w:szCs w:val="23"/>
              </w:rPr>
              <w:t>2.3</w:t>
            </w:r>
          </w:p>
          <w:p>
            <w:pPr>
              <w:spacing w:before="1" w:line="218" w:lineRule="auto"/>
              <w:ind w:left="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3"/>
                <w:szCs w:val="23"/>
              </w:rPr>
              <w:t>万字，被引141次。(人大书报复印资料《民商法学》2016年第6期全文转载)</w:t>
            </w:r>
          </w:p>
          <w:p>
            <w:pPr>
              <w:spacing w:before="148" w:line="444" w:lineRule="exact"/>
              <w:ind w:left="5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6"/>
                <w:sz w:val="23"/>
                <w:szCs w:val="23"/>
              </w:rPr>
              <w:t>7.</w:t>
            </w:r>
            <w:r>
              <w:rPr>
                <w:rFonts w:ascii="宋体" w:hAnsi="宋体" w:eastAsia="宋体" w:cs="宋体"/>
                <w:spacing w:val="18"/>
                <w:position w:val="1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position w:val="16"/>
                <w:sz w:val="23"/>
                <w:szCs w:val="23"/>
              </w:rPr>
              <w:t>《我国基金会立法的理论辩正与制度完善》,载《法学评论》2016年第5期，</w:t>
            </w:r>
          </w:p>
          <w:p>
            <w:pPr>
              <w:spacing w:line="219" w:lineRule="auto"/>
              <w:ind w:left="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2.</w:t>
            </w:r>
            <w:r>
              <w:rPr>
                <w:rFonts w:ascii="宋体" w:hAnsi="宋体" w:eastAsia="宋体" w:cs="宋体"/>
                <w:spacing w:val="-5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1万字，被引18次。</w:t>
            </w:r>
          </w:p>
          <w:p>
            <w:pPr>
              <w:spacing w:before="120" w:line="433" w:lineRule="exact"/>
              <w:ind w:left="5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position w:val="15"/>
                <w:sz w:val="23"/>
                <w:szCs w:val="23"/>
              </w:rPr>
              <w:t>8.</w:t>
            </w:r>
            <w:r>
              <w:rPr>
                <w:rFonts w:ascii="宋体" w:hAnsi="宋体" w:eastAsia="宋体" w:cs="宋体"/>
                <w:spacing w:val="18"/>
                <w:position w:val="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"/>
                <w:position w:val="15"/>
                <w:sz w:val="23"/>
                <w:szCs w:val="23"/>
              </w:rPr>
              <w:t>《鼓励交易原则的反思与合理表达》,载《政治与法律》2017年第7期，</w:t>
            </w:r>
            <w:r>
              <w:rPr>
                <w:rFonts w:ascii="宋体" w:hAnsi="宋体" w:eastAsia="宋体" w:cs="宋体"/>
                <w:b/>
                <w:bCs/>
                <w:spacing w:val="1"/>
                <w:position w:val="15"/>
                <w:sz w:val="23"/>
                <w:szCs w:val="23"/>
              </w:rPr>
              <w:t>2.3</w:t>
            </w:r>
          </w:p>
          <w:p>
            <w:pPr>
              <w:spacing w:before="1" w:line="218" w:lineRule="auto"/>
              <w:ind w:left="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3"/>
                <w:szCs w:val="23"/>
              </w:rPr>
              <w:t>万字，被引58次。(人大书报复印资料《民商法学》2017年第9期全文转载)</w:t>
            </w:r>
          </w:p>
          <w:p>
            <w:pPr>
              <w:spacing w:before="145" w:line="338" w:lineRule="auto"/>
              <w:ind w:left="108" w:right="154" w:firstLine="4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3"/>
                <w:szCs w:val="23"/>
              </w:rPr>
              <w:t>9.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3"/>
                <w:szCs w:val="23"/>
              </w:rPr>
              <w:t>《捐助法人组织架构的制度缺陷与完普进路》,载《法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3"/>
                <w:szCs w:val="23"/>
              </w:rPr>
              <w:t>学》2017年第10期，2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2"/>
                <w:sz w:val="23"/>
                <w:szCs w:val="23"/>
              </w:rPr>
              <w:t>万字，被引36次。(人大书报复印资料《民商法学》2018年第1期全文转载，《中国</w:t>
            </w:r>
          </w:p>
          <w:p>
            <w:pPr>
              <w:spacing w:before="1" w:line="218" w:lineRule="auto"/>
              <w:ind w:left="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3"/>
                <w:szCs w:val="23"/>
              </w:rPr>
              <w:t>社会科学文摘》2018年第2期转摘2个页码。)</w:t>
            </w:r>
          </w:p>
          <w:p>
            <w:pPr>
              <w:spacing w:before="158" w:line="414" w:lineRule="exact"/>
              <w:ind w:left="5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position w:val="14"/>
                <w:sz w:val="22"/>
                <w:szCs w:val="22"/>
              </w:rPr>
              <w:t>10.</w:t>
            </w:r>
            <w:r>
              <w:rPr>
                <w:rFonts w:ascii="宋体" w:hAnsi="宋体" w:eastAsia="宋体" w:cs="宋体"/>
                <w:spacing w:val="19"/>
                <w:position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position w:val="14"/>
                <w:sz w:val="22"/>
                <w:szCs w:val="22"/>
              </w:rPr>
              <w:t>《合同法与人格权法的互动探讨》,载《东方法学》2017年第6</w:t>
            </w:r>
            <w:r>
              <w:rPr>
                <w:rFonts w:ascii="宋体" w:hAnsi="宋体" w:eastAsia="宋体" w:cs="宋体"/>
                <w:spacing w:val="7"/>
                <w:position w:val="14"/>
                <w:sz w:val="22"/>
                <w:szCs w:val="22"/>
              </w:rPr>
              <w:t>期，1.6万字，</w:t>
            </w:r>
          </w:p>
          <w:p>
            <w:pPr>
              <w:spacing w:line="227" w:lineRule="auto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8"/>
                <w:sz w:val="22"/>
                <w:szCs w:val="22"/>
              </w:rPr>
              <w:t>被引15次。</w:t>
            </w:r>
          </w:p>
          <w:p>
            <w:pPr>
              <w:spacing w:before="156" w:line="453" w:lineRule="exact"/>
              <w:ind w:left="5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17"/>
                <w:sz w:val="23"/>
                <w:szCs w:val="23"/>
              </w:rPr>
              <w:t>11.</w:t>
            </w:r>
            <w:r>
              <w:rPr>
                <w:rFonts w:ascii="宋体" w:hAnsi="宋体" w:eastAsia="宋体" w:cs="宋体"/>
                <w:spacing w:val="18"/>
                <w:position w:val="1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17"/>
                <w:sz w:val="23"/>
                <w:szCs w:val="23"/>
              </w:rPr>
              <w:t>《缔约方式发展与民法典缔约制度完善</w:t>
            </w:r>
            <w:r>
              <w:rPr>
                <w:rFonts w:ascii="宋体" w:hAnsi="宋体" w:eastAsia="宋体" w:cs="宋体"/>
                <w:spacing w:val="2"/>
                <w:position w:val="17"/>
                <w:sz w:val="23"/>
                <w:szCs w:val="23"/>
              </w:rPr>
              <w:t>》,载《清华法学》2018年第6期，</w:t>
            </w:r>
          </w:p>
          <w:p>
            <w:pPr>
              <w:spacing w:line="219" w:lineRule="auto"/>
              <w:ind w:left="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2.2万字，被引26次。</w:t>
            </w:r>
          </w:p>
          <w:p>
            <w:pPr>
              <w:spacing w:before="110" w:line="453" w:lineRule="exact"/>
              <w:ind w:left="5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position w:val="17"/>
                <w:sz w:val="23"/>
                <w:szCs w:val="23"/>
              </w:rPr>
              <w:t>12.</w:t>
            </w:r>
            <w:r>
              <w:rPr>
                <w:rFonts w:ascii="宋体" w:hAnsi="宋体" w:eastAsia="宋体" w:cs="宋体"/>
                <w:spacing w:val="14"/>
                <w:position w:val="1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7"/>
                <w:sz w:val="23"/>
                <w:szCs w:val="23"/>
              </w:rPr>
              <w:t>《功能视角下的预约类型论》,载《法学家》202</w:t>
            </w:r>
            <w:r>
              <w:rPr>
                <w:rFonts w:ascii="宋体" w:hAnsi="宋体" w:eastAsia="宋体" w:cs="宋体"/>
                <w:b/>
                <w:bCs/>
                <w:spacing w:val="-2"/>
                <w:position w:val="17"/>
                <w:sz w:val="23"/>
                <w:szCs w:val="23"/>
              </w:rPr>
              <w:t>2年第4期，2.4万字，被引</w:t>
            </w:r>
          </w:p>
          <w:p>
            <w:pPr>
              <w:spacing w:before="1" w:line="207" w:lineRule="auto"/>
              <w:ind w:left="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3"/>
                <w:szCs w:val="23"/>
              </w:rPr>
              <w:t>0次。(人大书报复印资料《民商法学》2022年第1</w:t>
            </w:r>
            <w:r>
              <w:rPr>
                <w:rFonts w:ascii="宋体" w:hAnsi="宋体" w:eastAsia="宋体" w:cs="宋体"/>
                <w:b/>
                <w:bCs/>
                <w:spacing w:val="8"/>
                <w:sz w:val="23"/>
                <w:szCs w:val="23"/>
              </w:rPr>
              <w:t>2期全文转载)</w:t>
            </w:r>
          </w:p>
        </w:tc>
      </w:tr>
    </w:tbl>
    <w:p>
      <w:pPr>
        <w:sectPr>
          <w:pgSz w:w="11900" w:h="16830"/>
          <w:pgMar w:top="1430" w:right="1264" w:bottom="0" w:left="1785" w:header="0" w:footer="0" w:gutter="0"/>
          <w:cols w:space="720" w:num="1"/>
        </w:sectPr>
      </w:pPr>
      <w:bookmarkStart w:id="0" w:name="_GoBack"/>
      <w:bookmarkEnd w:id="0"/>
    </w:p>
    <w:p>
      <w:pPr>
        <w:spacing w:line="214" w:lineRule="exact"/>
      </w:pPr>
    </w:p>
    <w:tbl>
      <w:tblPr>
        <w:tblStyle w:val="4"/>
        <w:tblW w:w="8630" w:type="dxa"/>
        <w:tblInd w:w="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9" w:hRule="atLeast"/>
        </w:trPr>
        <w:tc>
          <w:tcPr>
            <w:tcW w:w="8630" w:type="dxa"/>
            <w:vAlign w:val="top"/>
          </w:tcPr>
          <w:p>
            <w:pPr>
              <w:spacing w:before="181" w:line="219" w:lineRule="auto"/>
              <w:ind w:left="32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3"/>
                <w:szCs w:val="23"/>
              </w:rPr>
              <w:t>获</w:t>
            </w:r>
            <w:r>
              <w:rPr>
                <w:rFonts w:ascii="宋体" w:hAnsi="宋体" w:eastAsia="宋体" w:cs="宋体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3"/>
                <w:szCs w:val="23"/>
              </w:rPr>
              <w:t>得</w:t>
            </w:r>
            <w:r>
              <w:rPr>
                <w:rFonts w:ascii="宋体" w:hAnsi="宋体" w:eastAsia="宋体" w:cs="宋体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3"/>
                <w:szCs w:val="23"/>
              </w:rPr>
              <w:t>奖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-3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3"/>
                <w:szCs w:val="23"/>
              </w:rPr>
              <w:t>和</w:t>
            </w:r>
            <w:r>
              <w:rPr>
                <w:rFonts w:ascii="宋体" w:hAnsi="宋体" w:eastAsia="宋体" w:cs="宋体"/>
                <w:spacing w:val="-3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3"/>
                <w:szCs w:val="23"/>
              </w:rPr>
              <w:t>表</w:t>
            </w:r>
            <w:r>
              <w:rPr>
                <w:rFonts w:ascii="宋体" w:hAnsi="宋体" w:eastAsia="宋体" w:cs="宋体"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3"/>
                <w:szCs w:val="23"/>
              </w:rPr>
              <w:t>彰</w:t>
            </w:r>
          </w:p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5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1.2017年被评为“武汉大学大学生课外学术科技创新活动优秀指导教师”。</w:t>
            </w:r>
          </w:p>
          <w:p>
            <w:pPr>
              <w:spacing w:before="147" w:line="441" w:lineRule="exact"/>
              <w:ind w:left="5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position w:val="15"/>
                <w:sz w:val="23"/>
                <w:szCs w:val="23"/>
              </w:rPr>
              <w:t>2.2018年独著的《民法典法人基本类型模式选择》</w:t>
            </w:r>
            <w:r>
              <w:rPr>
                <w:rFonts w:ascii="宋体" w:hAnsi="宋体" w:eastAsia="宋体" w:cs="宋体"/>
                <w:spacing w:val="22"/>
                <w:position w:val="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5"/>
                <w:sz w:val="23"/>
                <w:szCs w:val="23"/>
              </w:rPr>
              <w:t>一文</w:t>
            </w:r>
            <w:r>
              <w:rPr>
                <w:rFonts w:ascii="宋体" w:hAnsi="宋体" w:eastAsia="宋体" w:cs="宋体"/>
                <w:spacing w:val="-4"/>
                <w:position w:val="15"/>
                <w:sz w:val="23"/>
                <w:szCs w:val="23"/>
              </w:rPr>
              <w:t>被评为“湖北省社会科学</w:t>
            </w:r>
          </w:p>
          <w:p>
            <w:pPr>
              <w:spacing w:line="219" w:lineRule="auto"/>
              <w:ind w:left="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优秀成果奖”三等奖。</w:t>
            </w:r>
          </w:p>
          <w:p>
            <w:pPr>
              <w:spacing w:before="125" w:line="441" w:lineRule="exact"/>
              <w:ind w:left="5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16"/>
                <w:sz w:val="23"/>
                <w:szCs w:val="23"/>
              </w:rPr>
              <w:t>3.2019年独著的《司法责任制背景下的民商事类案指导制度》调研报告被评为</w:t>
            </w:r>
          </w:p>
          <w:p>
            <w:pPr>
              <w:spacing w:line="219" w:lineRule="auto"/>
              <w:ind w:left="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“最高人民法院优秀法律研修成果”。</w:t>
            </w:r>
          </w:p>
          <w:p>
            <w:pPr>
              <w:spacing w:before="126" w:line="461" w:lineRule="exact"/>
              <w:ind w:left="5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17"/>
                <w:sz w:val="23"/>
                <w:szCs w:val="23"/>
              </w:rPr>
              <w:t>4.2019年被中国人民大学书报资料中心评为“复印报刊资料重要转载来源作者</w:t>
            </w:r>
          </w:p>
          <w:p>
            <w:pPr>
              <w:spacing w:line="219" w:lineRule="auto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(2019年版)”。</w:t>
            </w:r>
          </w:p>
          <w:p>
            <w:pPr>
              <w:spacing w:before="126" w:line="219" w:lineRule="auto"/>
              <w:ind w:left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5.2020年获“湖北省优秀中青年法学法律工作者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”荣誉称号。</w:t>
            </w:r>
          </w:p>
        </w:tc>
      </w:tr>
    </w:tbl>
    <w:p>
      <w:pPr>
        <w:sectPr>
          <w:pgSz w:w="11900" w:h="16830"/>
          <w:pgMar w:top="1430" w:right="1345" w:bottom="0" w:left="1785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headerReference r:id="rId5" w:type="default"/>
      <w:pgSz w:w="12080" w:h="16950"/>
      <w:pgMar w:top="400" w:right="1254" w:bottom="0" w:left="181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isplayBackgroundShape w:val="1"/>
  <w:bordersDoNotSurroundHeader w:val="0"/>
  <w:bordersDoNotSurroundFooter w:val="0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kxNWNjNDYyYTNmOTgxMGY2OWQ2MmJlMDMyM2M5ZmIifQ=="/>
  </w:docVars>
  <w:rsids>
    <w:rsidRoot w:val="00000000"/>
    <w:rsid w:val="7BB7E6C0"/>
    <w:rsid w:val="7F5447B0"/>
    <w:rsid w:val="EFF68215"/>
    <w:rsid w:val="FFFD17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3615</Words>
  <Characters>4024</Characters>
  <Lines>1</Lines>
  <Paragraphs>1</Paragraphs>
  <TotalTime>9</TotalTime>
  <ScaleCrop>false</ScaleCrop>
  <LinksUpToDate>false</LinksUpToDate>
  <CharactersWithSpaces>4311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2023-03-28T21:37:00Z</dcterms:created>
  <dc:creator>Kingsoft-PDF</dc:creator>
  <cp:lastModifiedBy>执牛耳</cp:lastModifiedBy>
  <dcterms:modified xsi:type="dcterms:W3CDTF">2023-04-27T08:02:41Z</dcterms:modified>
  <dc:subject>pdfbuilder</dc:subject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2023-03-27T21:37:36Z</vt:filetime>
  </property>
  <property fmtid="{D5CDD505-2E9C-101B-9397-08002B2CF9AE}" pid="4" name="UsrData">
    <vt:lpwstr>64219c14a2d7b0001514fd6a</vt:lpwstr>
  </property>
  <property fmtid="{D5CDD505-2E9C-101B-9397-08002B2CF9AE}" pid="5" name="KSOProductBuildVer">
    <vt:lpwstr>2052-11.1.0.14036</vt:lpwstr>
  </property>
  <property fmtid="{D5CDD505-2E9C-101B-9397-08002B2CF9AE}" pid="6" name="ICV">
    <vt:lpwstr>8499BE256FDEA610A0D54464C76B7AA3_42</vt:lpwstr>
  </property>
</Properties>
</file>