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李庆明         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中国社会科学院国际法研究所           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中国国际私法研究会    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fldChar w:fldCharType="begin"/>
      </w:r>
      <w:r>
        <w:instrText xml:space="preserve"> HYPERLINK "mailto:qnfxj2022@163.com"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李庆明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drawing>
                <wp:inline distT="0" distB="0" distL="0" distR="0">
                  <wp:extent cx="1122680" cy="1572260"/>
                  <wp:effectExtent l="0" t="0" r="127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983.02.09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研究员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无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中国社会科学院国际法研究所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北京市东城区沙滩北街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一、独著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《美国的外国主权豁免理论与实践》，人民日报出版社2021年版，3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40千字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，代表性著作，被引用4次。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《美国&lt;外国人侵权请求法&gt;研究》，武汉大学出版社2010年版，3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53千字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二</w:t>
            </w: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、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论文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（一）5篇</w:t>
            </w:r>
            <w:r>
              <w:rPr>
                <w:rFonts w:ascii="楷体_GB2312" w:hAnsi="楷体" w:eastAsia="楷体_GB2312"/>
                <w:b/>
                <w:color w:val="000000"/>
                <w:sz w:val="24"/>
              </w:rPr>
              <w:t>代表性论文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《论美国域外管辖：概念、实践及中国因应》，独著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ab/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，《国际法研究》2019年第3期，2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5千字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，《高等学校文科学术文摘》2019年第4期摘编、人大复印资料《国际法学》2019年第10期全文转载，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被引用数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82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《境外仲裁机构在中国内地仲裁的法律问题研究》，独著，《环球法律评论》2016年第3期，2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5千字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，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被引用数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5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8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《论中国国有企业在美国民事诉讼中的国家豁免》，独著，《江西社会科学》2018年第11期，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14千字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，人大复印资料《国际法学》2019年第3期全文转载，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被引用数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2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1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《中国国家财产在美国的执行豁免——以沃尔斯特夫妇诉中国工商银行为例》，独著，《武汉大学学报（哲学社会科学版）》2013年第4期，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9千字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，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被引用数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7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《国家豁免与诉诸法院之权利——以欧洲人权法院的实践为中心》，独著，《环球法律评论》2012年第6期，1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2千字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，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被引用数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color w:val="000000"/>
                <w:sz w:val="24"/>
              </w:rPr>
              <w:t>3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（二）其他主要论文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《美国&lt;外国人侵权请求法&gt;诉讼中的管辖权》，独著，《美国研究》2012年第1期，人大复印报刊资料《国际法学》2012年第8期全文转载。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《美国联邦法院确认外国仲裁裁决的管辖权问题——以涉及中国政府的两个案件为例》，独著，《国际法研究》2015年第3期。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《美国新冠疫情诬告滥诉的违法性分析》，独著，《法律适用》2020年第21期。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《论域外民事判决作为我国民事诉讼中的证据》，独著，《国际法研究》2017年第5期，人大复印资料《国际法学》2018年第2期全文转载。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《国际人权条约与美国法院的双重标准》，独著，《人权》2013年第5期。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《美国&lt;外国人侵权法令&gt;介评》，独著，《月旦民商法杂志》2012年第3期。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《论国际私法中定性的标准》，独著，《月旦民商法杂志》2008年6月第20期。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《诉权的行使与国际民事诉讼管辖权》，合著，《政治与法律》2007年第1期，《人大复印资料（国际法学）》2007年第5期全文转载，日文版载日本</w:t>
            </w:r>
            <w:r>
              <w:rPr>
                <w:rFonts w:hint="eastAsia" w:ascii="楷体_GB2312" w:hAnsi="楷体" w:eastAsia="楷体_GB2312"/>
                <w:i/>
                <w:iCs/>
                <w:color w:val="000000"/>
                <w:sz w:val="24"/>
              </w:rPr>
              <w:t>The Quarterly Review of Corporation Law and Society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，2007年第4卷第1号。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《中国法院对中韩贸易争议的管辖权问题》（中、韩文本），合著，《国际私法研究》（韩国国际私法学会）2007年12月第13卷。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《2007年莫里斯诉中华人民共和国案述评》，合著，《法学》2007年第9期，《人大复印资料（国际法学）》2007年第12期全文转载。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《中国诊所式法学教育的现状与问题——学生的视角》，独著，日本《法律时报》2007年第79卷第2号。</w:t>
            </w:r>
          </w:p>
          <w:p>
            <w:pPr>
              <w:numPr>
                <w:ilvl w:val="0"/>
                <w:numId w:val="4"/>
              </w:numPr>
              <w:tabs>
                <w:tab w:val="left" w:pos="4185"/>
              </w:tabs>
              <w:snapToGrid w:val="0"/>
              <w:jc w:val="left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《诊所法律教育：中国法律硕士培养制度改革的基本方向》，合著，《法学杂志》2011年第2期。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cs="Arial"/>
                <w:kern w:val="0"/>
                <w:sz w:val="32"/>
                <w:szCs w:val="32"/>
              </w:rPr>
            </w:pPr>
            <w:r>
              <w:rPr>
                <w:rFonts w:hint="eastAsia" w:cs="Arial"/>
                <w:kern w:val="0"/>
                <w:sz w:val="32"/>
                <w:szCs w:val="32"/>
              </w:rPr>
              <w:t>中国国际私法学会2022年法学优秀成果奖一等奖。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cs="Arial"/>
                <w:kern w:val="0"/>
                <w:sz w:val="32"/>
                <w:szCs w:val="32"/>
              </w:rPr>
            </w:pPr>
            <w:r>
              <w:rPr>
                <w:rFonts w:hint="eastAsia" w:cs="Arial"/>
                <w:kern w:val="0"/>
                <w:sz w:val="32"/>
                <w:szCs w:val="32"/>
              </w:rPr>
              <w:t>中国国际私法学会2021年法学优秀成果奖一等奖。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cs="Arial"/>
                <w:kern w:val="0"/>
                <w:sz w:val="32"/>
                <w:szCs w:val="32"/>
              </w:rPr>
            </w:pPr>
            <w:r>
              <w:rPr>
                <w:rFonts w:hint="eastAsia" w:cs="Arial"/>
                <w:kern w:val="0"/>
                <w:sz w:val="32"/>
                <w:szCs w:val="32"/>
              </w:rPr>
              <w:t>中国国际私法学会2020年法学优秀成果奖二等奖。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cs="Arial"/>
                <w:kern w:val="0"/>
                <w:sz w:val="32"/>
                <w:szCs w:val="32"/>
              </w:rPr>
            </w:pPr>
            <w:r>
              <w:rPr>
                <w:rFonts w:hint="eastAsia" w:cs="Arial"/>
                <w:kern w:val="0"/>
                <w:sz w:val="32"/>
                <w:szCs w:val="32"/>
              </w:rPr>
              <w:t>中国社会科学院2020年度优秀对策信息研究类三等奖，两次。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cs="Arial"/>
                <w:kern w:val="0"/>
                <w:sz w:val="32"/>
                <w:szCs w:val="32"/>
              </w:rPr>
            </w:pPr>
            <w:r>
              <w:rPr>
                <w:rFonts w:hint="eastAsia" w:cs="Arial"/>
                <w:kern w:val="0"/>
                <w:sz w:val="32"/>
                <w:szCs w:val="32"/>
              </w:rPr>
              <w:t>中国社会科学院2018年度优秀对策信息研究类三等奖。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185"/>
              </w:tabs>
              <w:snapToGrid w:val="0"/>
              <w:ind w:firstLineChars="0"/>
              <w:jc w:val="left"/>
              <w:rPr>
                <w:rFonts w:cs="Arial"/>
                <w:kern w:val="0"/>
                <w:sz w:val="32"/>
                <w:szCs w:val="32"/>
              </w:rPr>
            </w:pPr>
            <w:r>
              <w:rPr>
                <w:rFonts w:hint="eastAsia" w:cs="Arial"/>
                <w:kern w:val="0"/>
                <w:sz w:val="32"/>
                <w:szCs w:val="32"/>
              </w:rPr>
              <w:t>北京国际法学会2018学术年会青年论文一等奖。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both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075750"/>
    <w:multiLevelType w:val="multilevel"/>
    <w:tmpl w:val="240757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D019E8"/>
    <w:multiLevelType w:val="multilevel"/>
    <w:tmpl w:val="3DD019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FE14B8"/>
    <w:multiLevelType w:val="singleLevel"/>
    <w:tmpl w:val="5BFE14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FBC2D6B"/>
    <w:multiLevelType w:val="multilevel"/>
    <w:tmpl w:val="7FBC2D6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150813"/>
    <w:rsid w:val="001814BD"/>
    <w:rsid w:val="002B7B3C"/>
    <w:rsid w:val="002E627C"/>
    <w:rsid w:val="00310A86"/>
    <w:rsid w:val="00325012"/>
    <w:rsid w:val="003459E5"/>
    <w:rsid w:val="0052358C"/>
    <w:rsid w:val="005264EF"/>
    <w:rsid w:val="005E166B"/>
    <w:rsid w:val="007E0B4F"/>
    <w:rsid w:val="00800D32"/>
    <w:rsid w:val="009913C9"/>
    <w:rsid w:val="00A325C0"/>
    <w:rsid w:val="00A515E2"/>
    <w:rsid w:val="00AB10C3"/>
    <w:rsid w:val="00AC0D50"/>
    <w:rsid w:val="00B469A2"/>
    <w:rsid w:val="00BB4293"/>
    <w:rsid w:val="00BF5468"/>
    <w:rsid w:val="00C52E89"/>
    <w:rsid w:val="00C859F7"/>
    <w:rsid w:val="00CE18A1"/>
    <w:rsid w:val="00F43F47"/>
    <w:rsid w:val="00F821A8"/>
    <w:rsid w:val="00FB06D9"/>
    <w:rsid w:val="00FB2016"/>
    <w:rsid w:val="00FD037F"/>
    <w:rsid w:val="1EBD9178"/>
    <w:rsid w:val="25A044E2"/>
    <w:rsid w:val="2CEFB339"/>
    <w:rsid w:val="2EFBBC48"/>
    <w:rsid w:val="3B1E5C57"/>
    <w:rsid w:val="3B780B32"/>
    <w:rsid w:val="3B9D0C2F"/>
    <w:rsid w:val="3BBF1B45"/>
    <w:rsid w:val="3DFF8C80"/>
    <w:rsid w:val="3FAC72FC"/>
    <w:rsid w:val="3FDF6C0E"/>
    <w:rsid w:val="3FE95ABC"/>
    <w:rsid w:val="40A50635"/>
    <w:rsid w:val="56EEFD7E"/>
    <w:rsid w:val="57B74E1B"/>
    <w:rsid w:val="591FD8F5"/>
    <w:rsid w:val="5AAC40BB"/>
    <w:rsid w:val="5DD32290"/>
    <w:rsid w:val="5DF46E1D"/>
    <w:rsid w:val="5DFEE7D4"/>
    <w:rsid w:val="5F3743E3"/>
    <w:rsid w:val="5FBC2178"/>
    <w:rsid w:val="6DED256F"/>
    <w:rsid w:val="6F9B4CF3"/>
    <w:rsid w:val="6FAF0381"/>
    <w:rsid w:val="6FFF2EC6"/>
    <w:rsid w:val="724029AF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6F5F5C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字符"/>
    <w:basedOn w:val="6"/>
    <w:link w:val="3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3068</Words>
  <Characters>3392</Characters>
  <Lines>11</Lines>
  <Paragraphs>12</Paragraphs>
  <TotalTime>33</TotalTime>
  <ScaleCrop>false</ScaleCrop>
  <LinksUpToDate>false</LinksUpToDate>
  <CharactersWithSpaces>3612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2023-03-15T19:17:00Z</dcterms:created>
  <dc:creator>fxhuser</dc:creator>
  <cp:lastModifiedBy>执牛耳</cp:lastModifiedBy>
  <cp:lastPrinted>2023-03-15T23:50:00Z</cp:lastPrinted>
  <dcterms:modified xsi:type="dcterms:W3CDTF">2023-04-27T06:40:45Z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42B23E80B3F243D8B71A61DBDCF78FCE</vt:lpwstr>
  </property>
</Properties>
</file>