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陈福勇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北京仲裁委员会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中国法学会民事诉讼法学研究会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ind w:firstLine="1908" w:firstLineChars="594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中国仲裁法学研究会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陈福勇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116330" cy="1680210"/>
                  <wp:effectExtent l="0" t="0" r="7620" b="0"/>
                  <wp:docPr id="4" name="图片 4" descr="陈福勇肖像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陈福勇肖像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1979.6.7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法学博士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兼职教授、研究员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副秘书长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北京仲裁委员会（北京国际仲裁中心）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北京市朝阳区建国路118号招商局大厦16层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专著：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《未竟的转型——中国仲裁机构现状与发展趋势实证研究》，独著，法律出版社2010年版，25万字，被引用数27。</w:t>
            </w:r>
          </w:p>
          <w:p>
            <w:pPr>
              <w:tabs>
                <w:tab w:val="left" w:pos="4185"/>
              </w:tabs>
              <w:snapToGrid w:val="0"/>
              <w:ind w:left="210" w:leftChars="1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论文：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bookmarkStart w:id="0" w:name="_Hlk125908562"/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1.“我国仲裁机构现状实证分析”，独著，载《法学研究》2009年第2期；《中国社会科学文摘》2009年第8期转载，后被收入《多元化纠纷解决机制与和谐社会的构建》（范愉主编，经济科学出版社2011年版）。被引用数51。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2．“美国仲裁发展模式考察”，独著，载《环球法律评论》2009年第3期；完全版载《北京仲裁》第69辑（2009年），后被收入《比较法在中国（2012年卷）》（刘兆兴主编，中国政法大学出版社2012年版）。被引用数38。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3.“Striving for Independence, Competence and Fairness: A Case Study of Beijing Arbitration Commission”，独著，载The American Review of International Arbitration（《美国国际仲裁评论》）, Vol.18, No.3: 313-352（2009）。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4.“仲裁机构的独立、胜任和公正如何可能——对S仲裁委的个案考察”，独著，载《北大法律评论》第10卷第2辑；人大复印报刊资料《诉讼法学、司法制度》2010年第1期转载。被引用数6。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5．“仲裁案源从哪里来?——对S仲裁委的个案考察”，独著，载《法律与社会科学》2010年第1期。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6.“论证券民事侵权赔偿案件的诉讼方式”，第二作者，载《政法论坛》2004年第3期。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7.“《民事诉讼法》修改与不予执行仲裁裁决”，第二作者，载《法学杂志》2012年第5期。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8.“中小仲裁机构运行状况实证分析”，独著，载《北航法律评论》2010年第1辑。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9．“行政化权力架构下的仲裁机构运作与转型分析”，独著，载《商事仲裁评论》第3辑（2010年）。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10.“大众化还是专业化——从业务定位看仲裁机构转型”，独著，载《司法改革评论》第九辑。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11．“诉讼时效的效力新探”，独著，载《金陵法律评论》2007年春季卷。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12.“程序视野中的诉讼时效问题”，第二作者，载《商事审判研究》，2004年卷。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13.“模糊化还是明确化——也谈仲裁机构的性质问题”，独著，载《人民法院报》2007年4月24日，未删节版载《北京仲裁》第62辑（2007年）。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14.“中国仲裁的国际化与国际仲裁的中国化”，独著，载《人民法治》2018年3月。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15.“我国企业涉外争议解决风险管理现状分析”，独著，载《北京仲裁》第 78 辑（2011年）；后被收入《中国商事争议解决年度观察 (2012)》（法律出版社2012年版）及《外滩金融创新试验区法律研究》（中国金融出版社2019年版）。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16.“建设涉外法律人才培养体系满足国际合作需要”，独著，载《法治日报》2021年3月16日。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17.“Revisiting Conventional Wisdom in the Organization of Arbitral Proceedings: Perspectives from Chinese Users and Institutions”, 独著，载ICCA Congress Series, No. 20，2019。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18.“Looking Beyond Rules-An Analyzing Insight into the Competitive Attractions of BAC“, 第一作者，载Dispute Resolution Law Guide 2013/14， LexisNexis，2013。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19.“Arbitration: A Meeting of the Ways”,独著，载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楷体" w:eastAsia="仿宋_GB2312"/>
                <w:color w:val="000000"/>
                <w:sz w:val="24"/>
              </w:rPr>
              <w:t>China Business Law Journal, October 2019 Volume 10，Issue 9。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 xml:space="preserve">    20. “Going with the Global Flow: Arbitration Developments and Practice”, 独著，载 China Business Law Journal, October 2022 Volume 13， Issue 9。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合著：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1.《律师之师：律师素质与思维十讲》，中国法制出版社2014年版（负责“审判方法论视野中的仲裁代理”部分）。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2.《中国人民大学中国法律发展报告2011：走向多元化的法律实施》，中国人民出版社2011年版（负责撰写商事仲裁部分）。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3.《中国人民大学中国法律发展报告2012：中国法律工作者的职业化》，中国人民出版社2012年版（负责撰写仲裁员部分）。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4.China Arbitration Handbook, Sweet &amp; Maxwell 2011 (负责撰写Chapter 4, Resource for Arbitration in China 和 Chapter 5 , Arbitration Process and Procedure ) 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5.Chinese Arbitration Law，LexisNexis 2015（负责撰写Arbitration Proceedings）。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6.International Commercial Arbitration Practice: 21st Century Perspectives, LexisNexis 2016(负责撰写Chapter 51A Review of the Beijing Arbitration Commission)。</w:t>
            </w:r>
          </w:p>
          <w:p>
            <w:pPr>
              <w:tabs>
                <w:tab w:val="left" w:pos="4185"/>
              </w:tabs>
              <w:snapToGrid w:val="0"/>
              <w:ind w:left="210" w:leftChars="1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译著：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1．[美]彼得·萨伯：《洞穴奇案的十四种判决》，陈福勇、张世泰译，商务印书馆（香港）有限公司2006年版（繁体字版）、生活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读书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新知三联书店</w:t>
            </w:r>
            <w:r>
              <w:rPr>
                <w:rFonts w:hint="eastAsia" w:ascii="仿宋_GB2312" w:hAnsi="楷体" w:eastAsia="仿宋_GB2312"/>
                <w:color w:val="000000"/>
                <w:sz w:val="24"/>
              </w:rPr>
              <w:t>2009年版（简体字版）、九州出版社2020年版。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2．[美]加里·B.博恩：《国际仲裁:法律与实践》，白磷、陈福勇等译，商务印书馆 2015 年版。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3.[美]格兰德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卢姆：《没什么谈不了：谈判实战指南》，姜丽丽、许捷、陈福勇译，世界图书出版公司</w:t>
            </w:r>
            <w:r>
              <w:rPr>
                <w:rFonts w:hint="eastAsia" w:ascii="仿宋_GB2312" w:hAnsi="楷体" w:eastAsia="仿宋_GB2312"/>
                <w:color w:val="000000"/>
                <w:sz w:val="24"/>
              </w:rPr>
              <w:t>2012年版。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4.[美]克里斯多佛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•</w:t>
            </w:r>
            <w:r>
              <w:rPr>
                <w:rFonts w:hint="eastAsia" w:ascii="仿宋_GB2312" w:hAnsi="楷体" w:eastAsia="仿宋_GB2312"/>
                <w:color w:val="000000"/>
                <w:sz w:val="24"/>
              </w:rPr>
              <w:t>R.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德拉奥萨、理查德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•</w:t>
            </w:r>
            <w:r>
              <w:rPr>
                <w:rFonts w:hint="eastAsia" w:ascii="仿宋_GB2312" w:hAnsi="楷体" w:eastAsia="仿宋_GB2312"/>
                <w:color w:val="000000"/>
                <w:sz w:val="24"/>
              </w:rPr>
              <w:t>W.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奈马克：《国际仲裁科学探索：实证研究精选集》，陈福勇、丁建勇译，中国政法大学出版社</w:t>
            </w:r>
            <w:r>
              <w:rPr>
                <w:rFonts w:hint="eastAsia" w:ascii="仿宋_GB2312" w:hAnsi="楷体" w:eastAsia="仿宋_GB2312"/>
                <w:color w:val="000000"/>
                <w:sz w:val="24"/>
              </w:rPr>
              <w:t>2009年版。</w:t>
            </w:r>
            <w:bookmarkEnd w:id="0"/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主编或执行主编：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1.《北京仲裁》（季刊），主编，中国法制出版社出版，从2013年至今，已经连续出版36辑（第82辑-118辑）。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2.中国仲裁文库，执行主编，商务印书馆出版，已经出版《股权转让案例精读》、《建设工程案例精读》、《优秀仲裁裁决书赏析》3本。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3.《中国商事争议解决年度观察》，执行主编，中国法制出版社出版，从2014年起至今，已经连续出版8本。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4.争议解决新视野译丛，执行主编，法律出版社出版，从2013年起至今，已经出版6本。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5.争议解决新探索文库，执行主编，法律出版社出版，从2013年起至今，已经出版6本。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仿宋_GB2312" w:hAnsi="楷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b/>
                <w:color w:val="000000"/>
                <w:sz w:val="24"/>
              </w:rPr>
              <w:t>课题研究：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1.主持最高人民法院2018年度执行研究课题《仲裁裁决执行疑难问题研究与对策分析》。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2．参与2011年北京市支持中央在京高校共建项目《民事诉讼法修改与多元化争议解决机制的完善》，承担关于仲裁的子项目。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3．参与2010年教育部人文社会科学研究规划基金项目《中国企业海外投资法律风险防范研究》，承担关于保障我国企业海外投资权益的若干手段的子项目。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4．参与中国集团公司促进会主持的《集团公司境外投资与经营法律风险管理课题研究》项目，并负责涉外争议解决法律风险管理的子课题。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5．独立承担洪范法律与经济研究所小型社科调研项目《中小仲裁机构运行状况实证分析》。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6．参与清华大学985二期项目《司法制度完善与多元化的纠纷解决体系》，承担关于仲裁的子项目。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7．参与2005年度教育部哲学社会科学研究重大课题攻关项目《多元化纠纷解决机制及和谐社会的建构》，承担关于仲裁的子项目。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ind w:left="210" w:leftChars="1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2011年全国优秀博士学位论文提名论文</w:t>
            </w:r>
          </w:p>
          <w:p>
            <w:pPr>
              <w:tabs>
                <w:tab w:val="left" w:pos="4185"/>
              </w:tabs>
              <w:snapToGrid w:val="0"/>
              <w:ind w:left="210" w:leftChars="1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北京市2010年优秀博士学位论文</w:t>
            </w:r>
          </w:p>
          <w:p>
            <w:pPr>
              <w:tabs>
                <w:tab w:val="left" w:pos="4185"/>
              </w:tabs>
              <w:snapToGrid w:val="0"/>
              <w:ind w:left="210" w:leftChars="1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清华大学2009年度优秀博士学位论文一等奖</w:t>
            </w:r>
          </w:p>
          <w:p>
            <w:pPr>
              <w:tabs>
                <w:tab w:val="left" w:pos="4185"/>
              </w:tabs>
              <w:snapToGrid w:val="0"/>
              <w:ind w:left="210" w:leftChars="1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清华大学2009年度优秀博士毕业生</w:t>
            </w:r>
          </w:p>
          <w:p>
            <w:pPr>
              <w:tabs>
                <w:tab w:val="left" w:pos="4185"/>
              </w:tabs>
              <w:snapToGrid w:val="0"/>
              <w:ind w:left="210" w:leftChars="100"/>
              <w:jc w:val="left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2014年被中国集团公司促进会授予软科学重大课题研究突出贡献奖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5232"/>
    <w:rsid w:val="00006740"/>
    <w:rsid w:val="00010B4E"/>
    <w:rsid w:val="00017137"/>
    <w:rsid w:val="00017893"/>
    <w:rsid w:val="00021FC2"/>
    <w:rsid w:val="000512AF"/>
    <w:rsid w:val="00055F7C"/>
    <w:rsid w:val="00057144"/>
    <w:rsid w:val="00060BDB"/>
    <w:rsid w:val="00061666"/>
    <w:rsid w:val="00061B38"/>
    <w:rsid w:val="00073BB5"/>
    <w:rsid w:val="00077741"/>
    <w:rsid w:val="000824C0"/>
    <w:rsid w:val="0008446A"/>
    <w:rsid w:val="000A0034"/>
    <w:rsid w:val="000A3833"/>
    <w:rsid w:val="000A6698"/>
    <w:rsid w:val="000B4845"/>
    <w:rsid w:val="000C07FF"/>
    <w:rsid w:val="000C0DB4"/>
    <w:rsid w:val="000C1259"/>
    <w:rsid w:val="000C7120"/>
    <w:rsid w:val="000C7F37"/>
    <w:rsid w:val="000D2CB3"/>
    <w:rsid w:val="000D3D27"/>
    <w:rsid w:val="000F7DD2"/>
    <w:rsid w:val="00100150"/>
    <w:rsid w:val="00105D06"/>
    <w:rsid w:val="00110EB7"/>
    <w:rsid w:val="00117736"/>
    <w:rsid w:val="00132A2D"/>
    <w:rsid w:val="00135744"/>
    <w:rsid w:val="00135D41"/>
    <w:rsid w:val="00140879"/>
    <w:rsid w:val="001411B2"/>
    <w:rsid w:val="0014168F"/>
    <w:rsid w:val="00144400"/>
    <w:rsid w:val="00145ACE"/>
    <w:rsid w:val="00161337"/>
    <w:rsid w:val="00164340"/>
    <w:rsid w:val="00165A5C"/>
    <w:rsid w:val="00171F2C"/>
    <w:rsid w:val="00175904"/>
    <w:rsid w:val="0018115D"/>
    <w:rsid w:val="00183BC1"/>
    <w:rsid w:val="00191AA4"/>
    <w:rsid w:val="001944A4"/>
    <w:rsid w:val="00196BAE"/>
    <w:rsid w:val="001B12E2"/>
    <w:rsid w:val="001B1450"/>
    <w:rsid w:val="001C1873"/>
    <w:rsid w:val="001D3A7D"/>
    <w:rsid w:val="001D6AB9"/>
    <w:rsid w:val="001E4626"/>
    <w:rsid w:val="001E51B3"/>
    <w:rsid w:val="001F3A5E"/>
    <w:rsid w:val="001F4DC4"/>
    <w:rsid w:val="001F756F"/>
    <w:rsid w:val="00200B92"/>
    <w:rsid w:val="002052A1"/>
    <w:rsid w:val="002121AF"/>
    <w:rsid w:val="00215651"/>
    <w:rsid w:val="002160BE"/>
    <w:rsid w:val="00220E90"/>
    <w:rsid w:val="002216E6"/>
    <w:rsid w:val="00221BDA"/>
    <w:rsid w:val="00221C46"/>
    <w:rsid w:val="0022200A"/>
    <w:rsid w:val="002246F0"/>
    <w:rsid w:val="00224AD0"/>
    <w:rsid w:val="00224FCB"/>
    <w:rsid w:val="00232F15"/>
    <w:rsid w:val="0023553E"/>
    <w:rsid w:val="0023628B"/>
    <w:rsid w:val="002377C3"/>
    <w:rsid w:val="00240322"/>
    <w:rsid w:val="00243A76"/>
    <w:rsid w:val="00243C8E"/>
    <w:rsid w:val="00246CE1"/>
    <w:rsid w:val="00254973"/>
    <w:rsid w:val="00264232"/>
    <w:rsid w:val="002761BB"/>
    <w:rsid w:val="00282C20"/>
    <w:rsid w:val="00284891"/>
    <w:rsid w:val="002863FA"/>
    <w:rsid w:val="00294974"/>
    <w:rsid w:val="002964C4"/>
    <w:rsid w:val="002A6061"/>
    <w:rsid w:val="002B141D"/>
    <w:rsid w:val="002B715A"/>
    <w:rsid w:val="002D26E4"/>
    <w:rsid w:val="002E1E43"/>
    <w:rsid w:val="002F1A71"/>
    <w:rsid w:val="002F2636"/>
    <w:rsid w:val="002F37D8"/>
    <w:rsid w:val="00300943"/>
    <w:rsid w:val="00300EFA"/>
    <w:rsid w:val="0031258F"/>
    <w:rsid w:val="00315A7F"/>
    <w:rsid w:val="00317C5C"/>
    <w:rsid w:val="003207A2"/>
    <w:rsid w:val="00321266"/>
    <w:rsid w:val="003272F0"/>
    <w:rsid w:val="003278C8"/>
    <w:rsid w:val="00335F07"/>
    <w:rsid w:val="0034060F"/>
    <w:rsid w:val="003410EA"/>
    <w:rsid w:val="003437B6"/>
    <w:rsid w:val="00344ED7"/>
    <w:rsid w:val="0034688A"/>
    <w:rsid w:val="00352E67"/>
    <w:rsid w:val="003541D2"/>
    <w:rsid w:val="00357A33"/>
    <w:rsid w:val="003616F9"/>
    <w:rsid w:val="00362BC5"/>
    <w:rsid w:val="00371E61"/>
    <w:rsid w:val="00382C40"/>
    <w:rsid w:val="0039181D"/>
    <w:rsid w:val="0039637D"/>
    <w:rsid w:val="003A01E1"/>
    <w:rsid w:val="003A1FAF"/>
    <w:rsid w:val="003A3EEA"/>
    <w:rsid w:val="003A45AC"/>
    <w:rsid w:val="003A4A33"/>
    <w:rsid w:val="003B0032"/>
    <w:rsid w:val="003B02FC"/>
    <w:rsid w:val="003B56D1"/>
    <w:rsid w:val="003B7E5E"/>
    <w:rsid w:val="003C1E85"/>
    <w:rsid w:val="003C5211"/>
    <w:rsid w:val="003C6C6C"/>
    <w:rsid w:val="003D4D6C"/>
    <w:rsid w:val="003E0A8A"/>
    <w:rsid w:val="003E2C5A"/>
    <w:rsid w:val="003E547C"/>
    <w:rsid w:val="003F01E6"/>
    <w:rsid w:val="003F21F9"/>
    <w:rsid w:val="003F6AA7"/>
    <w:rsid w:val="003F76D5"/>
    <w:rsid w:val="00405DA5"/>
    <w:rsid w:val="00410BA8"/>
    <w:rsid w:val="00415C7D"/>
    <w:rsid w:val="00417373"/>
    <w:rsid w:val="00420613"/>
    <w:rsid w:val="00427849"/>
    <w:rsid w:val="004301A3"/>
    <w:rsid w:val="00432B85"/>
    <w:rsid w:val="00432DDD"/>
    <w:rsid w:val="00434A28"/>
    <w:rsid w:val="00434FDD"/>
    <w:rsid w:val="0043792D"/>
    <w:rsid w:val="00443841"/>
    <w:rsid w:val="00451B55"/>
    <w:rsid w:val="00451E6E"/>
    <w:rsid w:val="00455847"/>
    <w:rsid w:val="00462AF8"/>
    <w:rsid w:val="0046339D"/>
    <w:rsid w:val="004650C9"/>
    <w:rsid w:val="00466615"/>
    <w:rsid w:val="00473463"/>
    <w:rsid w:val="00473E5B"/>
    <w:rsid w:val="0047480A"/>
    <w:rsid w:val="0049013A"/>
    <w:rsid w:val="00495165"/>
    <w:rsid w:val="004956F1"/>
    <w:rsid w:val="004A01F9"/>
    <w:rsid w:val="004A4606"/>
    <w:rsid w:val="004A73EF"/>
    <w:rsid w:val="004A75E6"/>
    <w:rsid w:val="004B584A"/>
    <w:rsid w:val="004B701E"/>
    <w:rsid w:val="004C0303"/>
    <w:rsid w:val="004C34B3"/>
    <w:rsid w:val="004C6D0B"/>
    <w:rsid w:val="004D1F11"/>
    <w:rsid w:val="004D4E7D"/>
    <w:rsid w:val="004E1382"/>
    <w:rsid w:val="004E36F6"/>
    <w:rsid w:val="004E3D55"/>
    <w:rsid w:val="004E4B79"/>
    <w:rsid w:val="004E63F8"/>
    <w:rsid w:val="004E69C3"/>
    <w:rsid w:val="004F0BD4"/>
    <w:rsid w:val="004F1684"/>
    <w:rsid w:val="004F5213"/>
    <w:rsid w:val="00503298"/>
    <w:rsid w:val="005032EE"/>
    <w:rsid w:val="005040D1"/>
    <w:rsid w:val="00505F42"/>
    <w:rsid w:val="00507139"/>
    <w:rsid w:val="00507806"/>
    <w:rsid w:val="005106EB"/>
    <w:rsid w:val="0051116F"/>
    <w:rsid w:val="005114F4"/>
    <w:rsid w:val="00512C43"/>
    <w:rsid w:val="0051373D"/>
    <w:rsid w:val="00520EB9"/>
    <w:rsid w:val="0052358C"/>
    <w:rsid w:val="00527051"/>
    <w:rsid w:val="00535CAA"/>
    <w:rsid w:val="00540469"/>
    <w:rsid w:val="00546329"/>
    <w:rsid w:val="005477D1"/>
    <w:rsid w:val="00552F2F"/>
    <w:rsid w:val="0056414E"/>
    <w:rsid w:val="005656F4"/>
    <w:rsid w:val="00577DDF"/>
    <w:rsid w:val="00591E7A"/>
    <w:rsid w:val="005978E8"/>
    <w:rsid w:val="005A13E8"/>
    <w:rsid w:val="005A1963"/>
    <w:rsid w:val="005A573B"/>
    <w:rsid w:val="005A7490"/>
    <w:rsid w:val="005B047A"/>
    <w:rsid w:val="005B148F"/>
    <w:rsid w:val="005B1CA3"/>
    <w:rsid w:val="005B5654"/>
    <w:rsid w:val="005C06B4"/>
    <w:rsid w:val="005C3618"/>
    <w:rsid w:val="005C463C"/>
    <w:rsid w:val="005D2F3F"/>
    <w:rsid w:val="005D793C"/>
    <w:rsid w:val="005E1506"/>
    <w:rsid w:val="005E4D24"/>
    <w:rsid w:val="005E66FD"/>
    <w:rsid w:val="005F5145"/>
    <w:rsid w:val="005F6202"/>
    <w:rsid w:val="00602758"/>
    <w:rsid w:val="00604DCF"/>
    <w:rsid w:val="006120A4"/>
    <w:rsid w:val="00612576"/>
    <w:rsid w:val="00620DAA"/>
    <w:rsid w:val="0062266E"/>
    <w:rsid w:val="00623DB1"/>
    <w:rsid w:val="0062536B"/>
    <w:rsid w:val="0062640E"/>
    <w:rsid w:val="00635BF4"/>
    <w:rsid w:val="0063776D"/>
    <w:rsid w:val="00644DD6"/>
    <w:rsid w:val="0065304B"/>
    <w:rsid w:val="00656739"/>
    <w:rsid w:val="00660B5A"/>
    <w:rsid w:val="00660B6D"/>
    <w:rsid w:val="006664C1"/>
    <w:rsid w:val="00666DC4"/>
    <w:rsid w:val="0067397C"/>
    <w:rsid w:val="0067482B"/>
    <w:rsid w:val="0067556D"/>
    <w:rsid w:val="00676181"/>
    <w:rsid w:val="00681D81"/>
    <w:rsid w:val="0068514F"/>
    <w:rsid w:val="00690A73"/>
    <w:rsid w:val="00693E4F"/>
    <w:rsid w:val="00696270"/>
    <w:rsid w:val="006A24F8"/>
    <w:rsid w:val="006A441C"/>
    <w:rsid w:val="006B0D43"/>
    <w:rsid w:val="006B412F"/>
    <w:rsid w:val="006B6AAF"/>
    <w:rsid w:val="006B71B4"/>
    <w:rsid w:val="006C278C"/>
    <w:rsid w:val="006C2D21"/>
    <w:rsid w:val="006C50F3"/>
    <w:rsid w:val="006D0C08"/>
    <w:rsid w:val="006D1072"/>
    <w:rsid w:val="006D24A6"/>
    <w:rsid w:val="006D30A6"/>
    <w:rsid w:val="006E1C73"/>
    <w:rsid w:val="006F116D"/>
    <w:rsid w:val="006F69AD"/>
    <w:rsid w:val="006F7804"/>
    <w:rsid w:val="00710957"/>
    <w:rsid w:val="0071106B"/>
    <w:rsid w:val="0071294A"/>
    <w:rsid w:val="00714A15"/>
    <w:rsid w:val="007155B9"/>
    <w:rsid w:val="00717F07"/>
    <w:rsid w:val="00723C62"/>
    <w:rsid w:val="007251D9"/>
    <w:rsid w:val="00726B25"/>
    <w:rsid w:val="007314D0"/>
    <w:rsid w:val="007353C0"/>
    <w:rsid w:val="00742B13"/>
    <w:rsid w:val="00752F3A"/>
    <w:rsid w:val="007573E8"/>
    <w:rsid w:val="00760F4E"/>
    <w:rsid w:val="00764BF7"/>
    <w:rsid w:val="00765657"/>
    <w:rsid w:val="0076752D"/>
    <w:rsid w:val="00770B3E"/>
    <w:rsid w:val="00772489"/>
    <w:rsid w:val="007837E9"/>
    <w:rsid w:val="007906EA"/>
    <w:rsid w:val="007910B1"/>
    <w:rsid w:val="00791E01"/>
    <w:rsid w:val="007953E2"/>
    <w:rsid w:val="007959BD"/>
    <w:rsid w:val="007A2F9F"/>
    <w:rsid w:val="007A5AC9"/>
    <w:rsid w:val="007A736B"/>
    <w:rsid w:val="007A7A1E"/>
    <w:rsid w:val="007A7AF2"/>
    <w:rsid w:val="007B39D9"/>
    <w:rsid w:val="007C067A"/>
    <w:rsid w:val="007E19D2"/>
    <w:rsid w:val="007E2A74"/>
    <w:rsid w:val="007E4965"/>
    <w:rsid w:val="007E59CA"/>
    <w:rsid w:val="007E620C"/>
    <w:rsid w:val="007F1D51"/>
    <w:rsid w:val="007F7B81"/>
    <w:rsid w:val="00806376"/>
    <w:rsid w:val="00813611"/>
    <w:rsid w:val="00823BA7"/>
    <w:rsid w:val="00825AD3"/>
    <w:rsid w:val="0083043A"/>
    <w:rsid w:val="00830596"/>
    <w:rsid w:val="00833FB6"/>
    <w:rsid w:val="008363F1"/>
    <w:rsid w:val="00836FF5"/>
    <w:rsid w:val="008372C7"/>
    <w:rsid w:val="00837EB5"/>
    <w:rsid w:val="00861585"/>
    <w:rsid w:val="00862B8B"/>
    <w:rsid w:val="00863807"/>
    <w:rsid w:val="00866D2D"/>
    <w:rsid w:val="008710C1"/>
    <w:rsid w:val="008732F9"/>
    <w:rsid w:val="00877650"/>
    <w:rsid w:val="008841BD"/>
    <w:rsid w:val="00886813"/>
    <w:rsid w:val="00894DB6"/>
    <w:rsid w:val="00895BE6"/>
    <w:rsid w:val="00895CB7"/>
    <w:rsid w:val="00897868"/>
    <w:rsid w:val="00897A36"/>
    <w:rsid w:val="008A4F6D"/>
    <w:rsid w:val="008A4FB9"/>
    <w:rsid w:val="008A7BAC"/>
    <w:rsid w:val="008B550F"/>
    <w:rsid w:val="008C5652"/>
    <w:rsid w:val="008C61D1"/>
    <w:rsid w:val="008D052D"/>
    <w:rsid w:val="008D191A"/>
    <w:rsid w:val="008D65AF"/>
    <w:rsid w:val="008E1CC3"/>
    <w:rsid w:val="008F3243"/>
    <w:rsid w:val="008F5C38"/>
    <w:rsid w:val="0090233C"/>
    <w:rsid w:val="009048F3"/>
    <w:rsid w:val="00912C78"/>
    <w:rsid w:val="00914771"/>
    <w:rsid w:val="00920B75"/>
    <w:rsid w:val="00924392"/>
    <w:rsid w:val="00931C3D"/>
    <w:rsid w:val="009373DC"/>
    <w:rsid w:val="009418E0"/>
    <w:rsid w:val="00951794"/>
    <w:rsid w:val="00954BDF"/>
    <w:rsid w:val="00954D9D"/>
    <w:rsid w:val="00954FD7"/>
    <w:rsid w:val="009577E5"/>
    <w:rsid w:val="00957B20"/>
    <w:rsid w:val="00960CEB"/>
    <w:rsid w:val="00961AF5"/>
    <w:rsid w:val="009623BC"/>
    <w:rsid w:val="0096784A"/>
    <w:rsid w:val="00970027"/>
    <w:rsid w:val="009714CD"/>
    <w:rsid w:val="009733C0"/>
    <w:rsid w:val="009743CB"/>
    <w:rsid w:val="009817EA"/>
    <w:rsid w:val="00982F67"/>
    <w:rsid w:val="00986BAF"/>
    <w:rsid w:val="00994711"/>
    <w:rsid w:val="009969E6"/>
    <w:rsid w:val="009A1D5A"/>
    <w:rsid w:val="009A6EB6"/>
    <w:rsid w:val="009B0DA0"/>
    <w:rsid w:val="009B161F"/>
    <w:rsid w:val="009B1D4D"/>
    <w:rsid w:val="009B7945"/>
    <w:rsid w:val="009D03E1"/>
    <w:rsid w:val="009D50A5"/>
    <w:rsid w:val="009D7486"/>
    <w:rsid w:val="009D7B75"/>
    <w:rsid w:val="009D7D8C"/>
    <w:rsid w:val="009E1D61"/>
    <w:rsid w:val="009F790C"/>
    <w:rsid w:val="00A06A36"/>
    <w:rsid w:val="00A10E6F"/>
    <w:rsid w:val="00A17C28"/>
    <w:rsid w:val="00A21069"/>
    <w:rsid w:val="00A21802"/>
    <w:rsid w:val="00A22771"/>
    <w:rsid w:val="00A2302F"/>
    <w:rsid w:val="00A27BBA"/>
    <w:rsid w:val="00A3446C"/>
    <w:rsid w:val="00A375C4"/>
    <w:rsid w:val="00A419EB"/>
    <w:rsid w:val="00A466E3"/>
    <w:rsid w:val="00A46A43"/>
    <w:rsid w:val="00A529D2"/>
    <w:rsid w:val="00A55C8E"/>
    <w:rsid w:val="00A62413"/>
    <w:rsid w:val="00A65EA2"/>
    <w:rsid w:val="00A6708A"/>
    <w:rsid w:val="00A67C79"/>
    <w:rsid w:val="00A71AFB"/>
    <w:rsid w:val="00A76BED"/>
    <w:rsid w:val="00A80FE5"/>
    <w:rsid w:val="00A82450"/>
    <w:rsid w:val="00A83063"/>
    <w:rsid w:val="00A8621A"/>
    <w:rsid w:val="00A902B1"/>
    <w:rsid w:val="00AA14FC"/>
    <w:rsid w:val="00AB58BF"/>
    <w:rsid w:val="00AC0819"/>
    <w:rsid w:val="00AC3117"/>
    <w:rsid w:val="00AC6FA6"/>
    <w:rsid w:val="00AC7A64"/>
    <w:rsid w:val="00AC7F4F"/>
    <w:rsid w:val="00AD2B6C"/>
    <w:rsid w:val="00AD6654"/>
    <w:rsid w:val="00AD68A7"/>
    <w:rsid w:val="00AD6D66"/>
    <w:rsid w:val="00AE3D00"/>
    <w:rsid w:val="00AF375D"/>
    <w:rsid w:val="00AF431D"/>
    <w:rsid w:val="00AF5FC3"/>
    <w:rsid w:val="00B00A3F"/>
    <w:rsid w:val="00B04661"/>
    <w:rsid w:val="00B10FE5"/>
    <w:rsid w:val="00B256E4"/>
    <w:rsid w:val="00B26DF3"/>
    <w:rsid w:val="00B3312D"/>
    <w:rsid w:val="00B4324A"/>
    <w:rsid w:val="00B44672"/>
    <w:rsid w:val="00B46806"/>
    <w:rsid w:val="00B54250"/>
    <w:rsid w:val="00B63CA2"/>
    <w:rsid w:val="00B721DB"/>
    <w:rsid w:val="00B72DCC"/>
    <w:rsid w:val="00B77A13"/>
    <w:rsid w:val="00B81386"/>
    <w:rsid w:val="00B82AEE"/>
    <w:rsid w:val="00B86EE1"/>
    <w:rsid w:val="00B954D9"/>
    <w:rsid w:val="00BB15E2"/>
    <w:rsid w:val="00BB234D"/>
    <w:rsid w:val="00BB64CB"/>
    <w:rsid w:val="00BC19B8"/>
    <w:rsid w:val="00BC4DDA"/>
    <w:rsid w:val="00BC5EA0"/>
    <w:rsid w:val="00BC771B"/>
    <w:rsid w:val="00BD1E5D"/>
    <w:rsid w:val="00BD2802"/>
    <w:rsid w:val="00BD638C"/>
    <w:rsid w:val="00BE4969"/>
    <w:rsid w:val="00BF0045"/>
    <w:rsid w:val="00BF478D"/>
    <w:rsid w:val="00BF4B68"/>
    <w:rsid w:val="00BF50CE"/>
    <w:rsid w:val="00BF79C8"/>
    <w:rsid w:val="00C0268F"/>
    <w:rsid w:val="00C02C3A"/>
    <w:rsid w:val="00C11E6F"/>
    <w:rsid w:val="00C15F03"/>
    <w:rsid w:val="00C26885"/>
    <w:rsid w:val="00C31690"/>
    <w:rsid w:val="00C35EA7"/>
    <w:rsid w:val="00C45434"/>
    <w:rsid w:val="00C47AA5"/>
    <w:rsid w:val="00C51DBB"/>
    <w:rsid w:val="00C52161"/>
    <w:rsid w:val="00C55B0F"/>
    <w:rsid w:val="00C56644"/>
    <w:rsid w:val="00C65B9C"/>
    <w:rsid w:val="00C668C2"/>
    <w:rsid w:val="00C66D58"/>
    <w:rsid w:val="00C67DD6"/>
    <w:rsid w:val="00C77D17"/>
    <w:rsid w:val="00C832C4"/>
    <w:rsid w:val="00C8724D"/>
    <w:rsid w:val="00C8776D"/>
    <w:rsid w:val="00C91ED4"/>
    <w:rsid w:val="00C94DD4"/>
    <w:rsid w:val="00C95F65"/>
    <w:rsid w:val="00CB09AE"/>
    <w:rsid w:val="00CC022C"/>
    <w:rsid w:val="00CC1A4F"/>
    <w:rsid w:val="00CC1E3C"/>
    <w:rsid w:val="00CD277F"/>
    <w:rsid w:val="00CD7A03"/>
    <w:rsid w:val="00CE1B10"/>
    <w:rsid w:val="00CE255F"/>
    <w:rsid w:val="00CF2A88"/>
    <w:rsid w:val="00CF3661"/>
    <w:rsid w:val="00CF3CB1"/>
    <w:rsid w:val="00D00602"/>
    <w:rsid w:val="00D00E9F"/>
    <w:rsid w:val="00D0361F"/>
    <w:rsid w:val="00D04309"/>
    <w:rsid w:val="00D11F18"/>
    <w:rsid w:val="00D14EB0"/>
    <w:rsid w:val="00D2343D"/>
    <w:rsid w:val="00D34676"/>
    <w:rsid w:val="00D3592E"/>
    <w:rsid w:val="00D37EDE"/>
    <w:rsid w:val="00D41F07"/>
    <w:rsid w:val="00D47343"/>
    <w:rsid w:val="00D51646"/>
    <w:rsid w:val="00D5359E"/>
    <w:rsid w:val="00D606A3"/>
    <w:rsid w:val="00D60847"/>
    <w:rsid w:val="00D65364"/>
    <w:rsid w:val="00D661D5"/>
    <w:rsid w:val="00D77C82"/>
    <w:rsid w:val="00D8185C"/>
    <w:rsid w:val="00D83988"/>
    <w:rsid w:val="00D966F2"/>
    <w:rsid w:val="00D977C2"/>
    <w:rsid w:val="00DA0B5A"/>
    <w:rsid w:val="00DA20AE"/>
    <w:rsid w:val="00DA3AA6"/>
    <w:rsid w:val="00DA7218"/>
    <w:rsid w:val="00DB065C"/>
    <w:rsid w:val="00DC0563"/>
    <w:rsid w:val="00DC4D97"/>
    <w:rsid w:val="00DC7683"/>
    <w:rsid w:val="00DD0C4B"/>
    <w:rsid w:val="00DD1909"/>
    <w:rsid w:val="00DD5D91"/>
    <w:rsid w:val="00DD6CFD"/>
    <w:rsid w:val="00DE100D"/>
    <w:rsid w:val="00DE7973"/>
    <w:rsid w:val="00DF4B59"/>
    <w:rsid w:val="00E00300"/>
    <w:rsid w:val="00E0094F"/>
    <w:rsid w:val="00E0274E"/>
    <w:rsid w:val="00E16EF6"/>
    <w:rsid w:val="00E21680"/>
    <w:rsid w:val="00E471F8"/>
    <w:rsid w:val="00E50B77"/>
    <w:rsid w:val="00E52EBB"/>
    <w:rsid w:val="00E606B1"/>
    <w:rsid w:val="00E61E6E"/>
    <w:rsid w:val="00E64060"/>
    <w:rsid w:val="00E73E1A"/>
    <w:rsid w:val="00E766A3"/>
    <w:rsid w:val="00E84392"/>
    <w:rsid w:val="00E920C9"/>
    <w:rsid w:val="00E922E7"/>
    <w:rsid w:val="00E93E6E"/>
    <w:rsid w:val="00EA24A4"/>
    <w:rsid w:val="00EA334D"/>
    <w:rsid w:val="00EA7937"/>
    <w:rsid w:val="00EB1101"/>
    <w:rsid w:val="00EB68DA"/>
    <w:rsid w:val="00ED4246"/>
    <w:rsid w:val="00ED7212"/>
    <w:rsid w:val="00EF377F"/>
    <w:rsid w:val="00F006B8"/>
    <w:rsid w:val="00F03027"/>
    <w:rsid w:val="00F07128"/>
    <w:rsid w:val="00F10ABC"/>
    <w:rsid w:val="00F22426"/>
    <w:rsid w:val="00F25390"/>
    <w:rsid w:val="00F302A2"/>
    <w:rsid w:val="00F32C91"/>
    <w:rsid w:val="00F351F8"/>
    <w:rsid w:val="00F36DB7"/>
    <w:rsid w:val="00F4341C"/>
    <w:rsid w:val="00F45346"/>
    <w:rsid w:val="00F46EB0"/>
    <w:rsid w:val="00F56CBE"/>
    <w:rsid w:val="00F57313"/>
    <w:rsid w:val="00F63211"/>
    <w:rsid w:val="00F67B1B"/>
    <w:rsid w:val="00F74B6D"/>
    <w:rsid w:val="00F80BCE"/>
    <w:rsid w:val="00F820A8"/>
    <w:rsid w:val="00F82F14"/>
    <w:rsid w:val="00F92CFC"/>
    <w:rsid w:val="00F93DA8"/>
    <w:rsid w:val="00F9788C"/>
    <w:rsid w:val="00FA005A"/>
    <w:rsid w:val="00FA0CF9"/>
    <w:rsid w:val="00FA1DEF"/>
    <w:rsid w:val="00FA2C50"/>
    <w:rsid w:val="00FA5B94"/>
    <w:rsid w:val="00FA5C7B"/>
    <w:rsid w:val="00FB06D9"/>
    <w:rsid w:val="00FB3149"/>
    <w:rsid w:val="00FC0E86"/>
    <w:rsid w:val="00FC1CA4"/>
    <w:rsid w:val="00FC3B81"/>
    <w:rsid w:val="00FC3E30"/>
    <w:rsid w:val="00FC6C39"/>
    <w:rsid w:val="00FD1E6B"/>
    <w:rsid w:val="00FD4D5F"/>
    <w:rsid w:val="00FD71BC"/>
    <w:rsid w:val="00FE2823"/>
    <w:rsid w:val="00FE5331"/>
    <w:rsid w:val="00FE6386"/>
    <w:rsid w:val="00FF553F"/>
    <w:rsid w:val="00FF5CD9"/>
    <w:rsid w:val="00FF78D3"/>
    <w:rsid w:val="00FF7C68"/>
    <w:rsid w:val="1AE12951"/>
    <w:rsid w:val="1C8D1ED4"/>
    <w:rsid w:val="1EBD9178"/>
    <w:rsid w:val="1FDF7CF7"/>
    <w:rsid w:val="278F7AE3"/>
    <w:rsid w:val="2CEFB339"/>
    <w:rsid w:val="2EFBBC48"/>
    <w:rsid w:val="3B9D0C2F"/>
    <w:rsid w:val="3BBF1B45"/>
    <w:rsid w:val="3BED464F"/>
    <w:rsid w:val="3DFF8C80"/>
    <w:rsid w:val="3FAC72FC"/>
    <w:rsid w:val="3FDF6C0E"/>
    <w:rsid w:val="3FE95ABC"/>
    <w:rsid w:val="56EEFD7E"/>
    <w:rsid w:val="57B74E1B"/>
    <w:rsid w:val="591FD8F5"/>
    <w:rsid w:val="5AAC40BB"/>
    <w:rsid w:val="5ADB15E7"/>
    <w:rsid w:val="5DD32290"/>
    <w:rsid w:val="5DF46E1D"/>
    <w:rsid w:val="5DFEE7D4"/>
    <w:rsid w:val="5DFF4E3F"/>
    <w:rsid w:val="5F3743E3"/>
    <w:rsid w:val="5FBC2178"/>
    <w:rsid w:val="5FDFBBB3"/>
    <w:rsid w:val="66FFA095"/>
    <w:rsid w:val="6EFDF5D3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A7D885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BF3C1EAD"/>
    <w:rsid w:val="D7371D03"/>
    <w:rsid w:val="D7FE4373"/>
    <w:rsid w:val="DBF76E43"/>
    <w:rsid w:val="DE7F24A6"/>
    <w:rsid w:val="ED661AE8"/>
    <w:rsid w:val="EDBF92DF"/>
    <w:rsid w:val="EDFF9236"/>
    <w:rsid w:val="EEFDCF1B"/>
    <w:rsid w:val="EF358C7A"/>
    <w:rsid w:val="EFBFEC5E"/>
    <w:rsid w:val="F2715785"/>
    <w:rsid w:val="F3D759E3"/>
    <w:rsid w:val="F65DCF12"/>
    <w:rsid w:val="F7AF7DD2"/>
    <w:rsid w:val="F7FF53B3"/>
    <w:rsid w:val="FAFBA160"/>
    <w:rsid w:val="FBDBA10B"/>
    <w:rsid w:val="FBF77622"/>
    <w:rsid w:val="FE7F89ED"/>
    <w:rsid w:val="FF3E2000"/>
    <w:rsid w:val="FF6D7F3E"/>
    <w:rsid w:val="FFAD001C"/>
    <w:rsid w:val="FFADBAA8"/>
    <w:rsid w:val="FFBF67D3"/>
    <w:rsid w:val="FFD77033"/>
    <w:rsid w:val="FFDB27FB"/>
    <w:rsid w:val="FFDF0FB2"/>
    <w:rsid w:val="FFE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标题 1 字符"/>
    <w:basedOn w:val="8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8088</Words>
  <Characters>9652</Characters>
  <Lines>104</Lines>
  <Paragraphs>29</Paragraphs>
  <TotalTime>94</TotalTime>
  <ScaleCrop>false</ScaleCrop>
  <LinksUpToDate>false</LinksUpToDate>
  <CharactersWithSpaces>9937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2023-03-20T19:10:00Z</dcterms:created>
  <dc:creator>fxhuser</dc:creator>
  <cp:lastModifiedBy>执牛耳</cp:lastModifiedBy>
  <cp:lastPrinted>2023-02-09T19:07:00Z</cp:lastPrinted>
  <dcterms:modified xsi:type="dcterms:W3CDTF">2023-04-27T07:53:51Z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D6FE77DB325F06DBA6FA44644D165B70_42</vt:lpwstr>
  </property>
</Properties>
</file>