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eastAsia="仿宋"/>
          <w:bCs/>
          <w:color w:val="000000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附件2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姓    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廖诗评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工作单位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北京师范大学法学院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推荐单位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中国法学会世界贸易组织法研究会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</w:t>
      </w: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北京师范大学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法学院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sz w:val="32"/>
          <w:szCs w:val="32"/>
        </w:rPr>
      </w:pPr>
      <w:r>
        <w:rPr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sz w:val="32"/>
          <w:szCs w:val="32"/>
        </w:rPr>
        <w:t>202</w:t>
      </w:r>
      <w:r>
        <w:rPr>
          <w:sz w:val="32"/>
          <w:szCs w:val="32"/>
          <w:lang w:val="en"/>
        </w:rPr>
        <w:t>2</w:t>
      </w:r>
      <w:r>
        <w:rPr>
          <w:sz w:val="32"/>
          <w:szCs w:val="32"/>
        </w:rPr>
        <w:t>年</w:t>
      </w:r>
      <w:r>
        <w:rPr>
          <w:sz w:val="32"/>
          <w:szCs w:val="32"/>
          <w:lang w:val="en"/>
        </w:rPr>
        <w:t>12</w:t>
      </w:r>
      <w:r>
        <w:rPr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b/>
          <w:sz w:val="30"/>
        </w:rPr>
      </w:pPr>
    </w:p>
    <w:p>
      <w:pPr>
        <w:spacing w:line="440" w:lineRule="exact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填  表  说  明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eastAsia="仿宋"/>
          <w:sz w:val="28"/>
          <w:szCs w:val="28"/>
        </w:rPr>
        <w:t>本表电子版发至指定邮箱</w:t>
      </w:r>
      <w:r>
        <w:rPr>
          <w:rFonts w:eastAsia="仿宋"/>
          <w:sz w:val="28"/>
          <w:szCs w:val="28"/>
        </w:rPr>
        <w:fldChar w:fldCharType="end"/>
      </w:r>
      <w:r>
        <w:rPr>
          <w:rFonts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 系 人：魏丽莎 于晓航  010-66</w:t>
      </w:r>
      <w:r>
        <w:rPr>
          <w:rFonts w:eastAsia="仿宋"/>
          <w:color w:val="000000"/>
          <w:sz w:val="28"/>
          <w:szCs w:val="28"/>
          <w:lang w:val="en"/>
        </w:rPr>
        <w:t>1</w:t>
      </w:r>
      <w:r>
        <w:rPr>
          <w:rFonts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pacing w:val="-6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邮寄地址：</w:t>
      </w:r>
      <w:r>
        <w:rPr>
          <w:rFonts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8"/>
          <w:rFonts w:eastAsia="仿宋"/>
          <w:color w:val="000000"/>
          <w:sz w:val="28"/>
          <w:szCs w:val="28"/>
        </w:rPr>
        <w:t>qnfxj2022@163.com</w:t>
      </w:r>
      <w:r>
        <w:rPr>
          <w:rStyle w:val="8"/>
          <w:rFonts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</w:p>
    <w:p>
      <w:pPr>
        <w:rPr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eastAsia="华文中宋"/>
                <w:b/>
                <w:color w:val="000000"/>
                <w:sz w:val="30"/>
                <w:szCs w:val="30"/>
              </w:rPr>
            </w:pPr>
            <w:r>
              <w:rPr>
                <w:rFonts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廖诗评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drawing>
                <wp:inline distT="0" distB="0" distL="0" distR="0">
                  <wp:extent cx="1143635" cy="1716405"/>
                  <wp:effectExtent l="0" t="0" r="0" b="0"/>
                  <wp:docPr id="1" name="图片 1" descr="E:\学术资料\学术资料(2015.11.19)\my document\廖诗评.jp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学术资料\学术资料(2015.11.19)\my document\廖诗评.jp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06" cy="17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1979年4月2日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群众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北京师范大学法学院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北京市海淀区新街口外大街19号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专著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1.《条约冲突基础问题研究》，法律出版社2008年版，独著，33万字。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2.《贸易体制的演进——GATT/WTO的政治学、法学和经济学》，北京大学出版社2013年版，独译，23万字。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论文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hint="eastAsia" w:eastAsia="楷体"/>
                <w:b/>
                <w:color w:val="000000"/>
                <w:sz w:val="24"/>
              </w:rPr>
              <w:t>（一）代表性论文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1.《中国法域外适用法律体系：现状、问题与完善》，</w:t>
            </w:r>
            <w:r>
              <w:rPr>
                <w:rFonts w:eastAsia="楷体"/>
                <w:b/>
                <w:bCs/>
                <w:color w:val="000000"/>
                <w:sz w:val="24"/>
              </w:rPr>
              <w:t>《中国法学》</w:t>
            </w:r>
            <w:r>
              <w:rPr>
                <w:rFonts w:eastAsia="楷体"/>
                <w:bCs/>
                <w:color w:val="000000"/>
                <w:sz w:val="24"/>
              </w:rPr>
              <w:t>2019年第6期，独著，2.3万字。中国知网统计的被引用数：124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2.《国际法中的特别法优先原则》，</w:t>
            </w:r>
            <w:r>
              <w:rPr>
                <w:rFonts w:eastAsia="楷体"/>
                <w:b/>
                <w:bCs/>
                <w:color w:val="000000"/>
                <w:sz w:val="24"/>
              </w:rPr>
              <w:t>《法学研究》</w:t>
            </w:r>
            <w:r>
              <w:rPr>
                <w:rFonts w:eastAsia="楷体"/>
                <w:bCs/>
                <w:color w:val="000000"/>
                <w:sz w:val="24"/>
              </w:rPr>
              <w:t>2010年第2期，独著，1.6万字。中国知网统计的被引用数：25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3.《“中美双反措施案”中的“公共机构”认定问题研究》，</w:t>
            </w:r>
            <w:r>
              <w:rPr>
                <w:rFonts w:eastAsia="楷体"/>
                <w:b/>
                <w:bCs/>
                <w:color w:val="000000"/>
                <w:sz w:val="24"/>
              </w:rPr>
              <w:t>《法商研究》</w:t>
            </w:r>
            <w:r>
              <w:rPr>
                <w:rFonts w:eastAsia="楷体"/>
                <w:bCs/>
                <w:color w:val="000000"/>
                <w:sz w:val="24"/>
              </w:rPr>
              <w:t>2011年第6期，独著，1.2万字。中国知网统计的被引用数：50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《人大复印资料 国际法学》2012年第3期全文转载。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4.《国内法域外适用及其应对——以美国法域外适用措施为例》，</w:t>
            </w:r>
            <w:r>
              <w:rPr>
                <w:rFonts w:eastAsia="楷体"/>
                <w:b/>
                <w:bCs/>
                <w:color w:val="000000"/>
                <w:sz w:val="24"/>
              </w:rPr>
              <w:t>《环球法律评论》</w:t>
            </w:r>
            <w:r>
              <w:rPr>
                <w:rFonts w:eastAsia="楷体"/>
                <w:bCs/>
                <w:color w:val="000000"/>
                <w:sz w:val="24"/>
              </w:rPr>
              <w:t>2019年第3期，独著，1.8万字。中国知网统计的被引用数：159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《人大复印资料 国际法学》2019年第9期全文转载。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5.《中国法中的域外效力条款及其完善：基本理念与思路》，</w:t>
            </w:r>
            <w:r>
              <w:rPr>
                <w:rFonts w:eastAsia="楷体"/>
                <w:b/>
                <w:bCs/>
                <w:color w:val="000000"/>
                <w:sz w:val="24"/>
              </w:rPr>
              <w:t>《中国法律评论》</w:t>
            </w:r>
            <w:r>
              <w:rPr>
                <w:rFonts w:eastAsia="楷体"/>
                <w:bCs/>
                <w:color w:val="000000"/>
                <w:sz w:val="24"/>
              </w:rPr>
              <w:t>2022年第1期，独著，1.6万字。知网统计的被引用数：5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楷体"/>
                <w:bCs/>
                <w:color w:val="000000"/>
                <w:sz w:val="24"/>
              </w:rPr>
              <w:t>《中国法律》（ISSN 1026-9371全球发行刊物）2022年第1期中英文全文转载。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bCs/>
                <w:color w:val="000000"/>
                <w:sz w:val="24"/>
              </w:rPr>
            </w:pPr>
            <w:r>
              <w:rPr>
                <w:rFonts w:hint="eastAsia" w:eastAsia="楷体"/>
                <w:b/>
                <w:bCs/>
                <w:color w:val="000000"/>
                <w:sz w:val="24"/>
              </w:rPr>
              <w:t>注：中国知网引用数为严格他引数，统计截止日期为2023年1月19日。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bCs/>
                <w:color w:val="000000"/>
                <w:sz w:val="24"/>
              </w:rPr>
            </w:pPr>
            <w:r>
              <w:rPr>
                <w:rFonts w:hint="eastAsia" w:eastAsia="楷体"/>
                <w:b/>
                <w:bCs/>
                <w:color w:val="000000"/>
                <w:sz w:val="24"/>
              </w:rPr>
              <w:t>（二）其他论文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6.《试论&lt;科托努协定&gt;》，载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《法学评论》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2007年第2期，独著。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7.《国际条约中的冲突条款评析》，载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《政治与法律》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2007年第3期，独著（人大复印资料《国际法学》2007年第9期全文转载）。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8.《条约解释方法在解决条约冲突中的运用》，载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《外交评论》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2008年第5期，独著。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9.《国际强行法的新发展——基于不同司法机构实践的一个比较分析》，载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《华东政法大学学报》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2008年第6期，独著（人大复印资料《国际法学》2009年第3期全文转载）。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10.《论国际条约中的“更优条款”》，载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《政治与法律》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2009年第4期，独著。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11.《条约冲突的基本问题及其解决方法》，载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《法学家》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2010年第1期，独著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12.《论后法优先原则与特别法优先原则在解决条约冲突中的关系》，载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《河南大学学报》（社会科学版）</w:t>
            </w:r>
            <w:r>
              <w:rPr>
                <w:rFonts w:hint="eastAsia" w:eastAsia="楷体"/>
                <w:bCs/>
                <w:color w:val="000000"/>
                <w:sz w:val="24"/>
              </w:rPr>
              <w:t>2011年第2期，独著（人大复印资料《国际法学》2011年第6期全文转载）。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13.《国际争端解决机制管辖权的冲突与协调》，载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《江淮论坛》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2015年第4期，第一作者（人大复印资料《国际法学》2015年第11期全文转载）。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14.《论“不与国内法冲突”作为条约临时适用的条件》，载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《中国国际法年刊（2017）》</w:t>
            </w:r>
            <w:r>
              <w:rPr>
                <w:rFonts w:hint="eastAsia" w:eastAsia="楷体"/>
                <w:bCs/>
                <w:color w:val="000000"/>
                <w:sz w:val="24"/>
              </w:rPr>
              <w:t>，第一作者，法律出版社2018年版。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15．《经由国际法的国内法改革——改革开放四十年国内法制建设的另类路径观察》载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《中国法律评论》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2018年第5期，独著（人大复印资料《国际法学》2019年第3期全文转载）。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16．《&lt;阻断外国法律与措施不当域外适用办法&gt;的属事适用范围》，载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《国际法研究》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2021年第2期，独著（人大复印资料《国际法学》2021年第7期全文转载）。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17．《中国法域外适用法律体系视野下的行政执法》，载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《行政法学研究》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2023年第2期，独著。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18.《中国贸易反制的国际法依据》，载《经贸法律评论》2019年第1期，独著。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19.《国际争端解决中一方不出庭程序的事实认定——兼评“南海仲裁案”仲裁庭的相关做法》，载《中华海洋法学评论》2022年第1期，独著。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20.《欧盟与独联体国家双边贸易协定法律制度简论》，载《华北电力大学学报（社会科学版）》2006年第1期，独著。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21.《论“连续性条约”中的时间因素》，载《公民与法》（法学版），2010年第4期，第一作者。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22.《&lt;联合国反腐败公约&gt;与治理商业贿赂》，载</w:t>
            </w:r>
            <w:r>
              <w:rPr>
                <w:rFonts w:hint="eastAsia" w:eastAsia="楷体"/>
                <w:b/>
                <w:bCs/>
                <w:color w:val="000000"/>
                <w:sz w:val="24"/>
              </w:rPr>
              <w:t>《南开学报（哲社版）》</w:t>
            </w:r>
            <w:r>
              <w:rPr>
                <w:rFonts w:hint="eastAsia" w:eastAsia="楷体"/>
                <w:bCs/>
                <w:color w:val="000000"/>
                <w:sz w:val="24"/>
              </w:rPr>
              <w:t>2007年第3期，第二作者。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23.《“欧洲协定”导论》，载赵海峰主编：《&lt;欧盟宪法条约&gt;与欧洲法的新发展》，哈尔滨工业大学出版社2008年版，独著。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24.《安理会关于武装冲突的决议与国际强行法规则之间的关系》，载赵白鸽主编：《中国国际人道法的执行》，人民出版社2011年版，独著。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25.《穿梭在洛桑街上的人——WTO上诉机构听证会的一个侧面》，载杨国华、史晓丽主编：《我们在WTO打官司》，知识产权出版社2014年版，独著。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26.《我与WTO——在国际法不成体系中穿行》，载杨国华主编：《我与WTO》，知识产权出版社2015年版，独著。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27</w:t>
            </w:r>
            <w:r>
              <w:rPr>
                <w:rFonts w:eastAsia="楷体"/>
                <w:bCs/>
                <w:color w:val="000000"/>
                <w:sz w:val="24"/>
              </w:rPr>
              <w:t>.</w:t>
            </w:r>
            <w:r>
              <w:rPr>
                <w:rFonts w:hint="eastAsia" w:eastAsia="楷体"/>
                <w:bCs/>
                <w:color w:val="000000"/>
                <w:sz w:val="24"/>
              </w:rPr>
              <w:t>《对北师大法学院参与国际模拟法庭竞赛情况的回顾与思考》，载《京师法学》（第1</w:t>
            </w:r>
            <w:r>
              <w:rPr>
                <w:rFonts w:eastAsia="楷体"/>
                <w:bCs/>
                <w:color w:val="000000"/>
                <w:sz w:val="24"/>
              </w:rPr>
              <w:t>2</w:t>
            </w:r>
            <w:r>
              <w:rPr>
                <w:rFonts w:hint="eastAsia" w:eastAsia="楷体"/>
                <w:bCs/>
                <w:color w:val="000000"/>
                <w:sz w:val="24"/>
              </w:rPr>
              <w:t>卷），中国法制出版社2</w:t>
            </w:r>
            <w:r>
              <w:rPr>
                <w:rFonts w:eastAsia="楷体"/>
                <w:bCs/>
                <w:color w:val="000000"/>
                <w:sz w:val="24"/>
              </w:rPr>
              <w:t>019</w:t>
            </w:r>
            <w:r>
              <w:rPr>
                <w:rFonts w:hint="eastAsia" w:eastAsia="楷体"/>
                <w:bCs/>
                <w:color w:val="000000"/>
                <w:sz w:val="24"/>
              </w:rPr>
              <w:t>年版，独著。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hint="eastAsia" w:eastAsia="楷体"/>
                <w:bCs/>
                <w:color w:val="000000"/>
                <w:sz w:val="24"/>
              </w:rPr>
              <w:t>28.《私法的国际趋同化与区域经济一体化》（译文），载《国际法与比较法论丛》第10辑，中国方正出版社2004年版，第二译者。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hint="eastAsia" w:eastAsia="楷体"/>
                <w:b/>
                <w:color w:val="000000"/>
                <w:sz w:val="24"/>
              </w:rPr>
              <w:t>（三）英文论文</w:t>
            </w:r>
          </w:p>
          <w:p>
            <w:pPr>
              <w:ind w:firstLine="435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29.</w:t>
            </w:r>
            <w:r>
              <w:rPr>
                <w:b/>
                <w:sz w:val="24"/>
              </w:rPr>
              <w:t xml:space="preserve"> LIAO Shiping and Petros C. Mavroidis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sz w:val="24"/>
              </w:rPr>
              <w:t>China, European Union, and the WTO Dispute Settlement Crisis, in Bernard Hoekman edited, Rebooting Multilateral Trade Cooperation: Perspectives from China and Europe, CEPR Press, 2021.</w:t>
            </w:r>
          </w:p>
          <w:p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30.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act-finding in Non-appearance before International Courts and Tribunals, 2022 CHINA Oceans L. REV. [i] (2022).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hint="eastAsia" w:eastAsia="楷体"/>
                <w:b/>
                <w:color w:val="000000"/>
                <w:sz w:val="24"/>
              </w:rPr>
              <w:t>（四）教学研究项目（部分）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sz w:val="24"/>
              </w:rPr>
              <w:t>1.</w:t>
            </w:r>
            <w:r>
              <w:rPr>
                <w:rFonts w:eastAsia="楷体"/>
                <w:color w:val="000000"/>
                <w:sz w:val="24"/>
              </w:rPr>
              <w:t xml:space="preserve"> </w:t>
            </w:r>
            <w:r>
              <w:rPr>
                <w:rFonts w:hint="eastAsia" w:eastAsia="楷体"/>
                <w:color w:val="000000"/>
                <w:sz w:val="24"/>
              </w:rPr>
              <w:t>北京师范大学教师发展中心项目：讨论式教学法的实践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sz w:val="24"/>
              </w:rPr>
              <w:t>2.</w:t>
            </w:r>
            <w:r>
              <w:rPr>
                <w:rFonts w:eastAsia="楷体"/>
                <w:color w:val="000000"/>
                <w:sz w:val="24"/>
              </w:rPr>
              <w:t xml:space="preserve"> </w:t>
            </w:r>
            <w:r>
              <w:rPr>
                <w:rFonts w:hint="eastAsia" w:eastAsia="楷体"/>
                <w:color w:val="000000"/>
                <w:sz w:val="24"/>
              </w:rPr>
              <w:t>北京师范大学教师发展中心项目：讨论式教学法在大学法学本科课堂的运用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sz w:val="24"/>
              </w:rPr>
              <w:t>3.</w:t>
            </w:r>
            <w:r>
              <w:rPr>
                <w:rFonts w:eastAsia="楷体"/>
                <w:color w:val="000000"/>
                <w:sz w:val="24"/>
              </w:rPr>
              <w:t xml:space="preserve"> </w:t>
            </w:r>
            <w:r>
              <w:rPr>
                <w:rFonts w:hint="eastAsia" w:eastAsia="楷体"/>
                <w:color w:val="000000"/>
                <w:sz w:val="24"/>
              </w:rPr>
              <w:t>教育部首批新文科研究与改革实践项目：跨学科、多语种、国际化复合型经贸法律人才培养模式的创新与实践（</w:t>
            </w:r>
            <w:r>
              <w:rPr>
                <w:rFonts w:eastAsia="楷体"/>
                <w:color w:val="000000"/>
                <w:sz w:val="24"/>
              </w:rPr>
              <w:t>2021110005</w:t>
            </w:r>
            <w:r>
              <w:rPr>
                <w:rFonts w:hint="eastAsia" w:eastAsia="楷体"/>
                <w:color w:val="000000"/>
                <w:sz w:val="24"/>
              </w:rPr>
              <w:t>）（排名第七）</w:t>
            </w:r>
          </w:p>
          <w:p>
            <w:pPr>
              <w:tabs>
                <w:tab w:val="left" w:pos="4185"/>
              </w:tabs>
              <w:snapToGrid w:val="0"/>
              <w:ind w:firstLine="495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hint="eastAsia" w:eastAsia="楷体"/>
                <w:b/>
                <w:color w:val="000000"/>
                <w:sz w:val="24"/>
              </w:rPr>
              <w:t>（五）科学研究项目（</w:t>
            </w:r>
            <w:r>
              <w:rPr>
                <w:rFonts w:hint="eastAsia" w:eastAsia="楷体"/>
                <w:b/>
                <w:color w:val="000000"/>
                <w:sz w:val="24"/>
                <w:lang w:eastAsia="zh-CN"/>
              </w:rPr>
              <w:t>略</w:t>
            </w:r>
            <w:r>
              <w:rPr>
                <w:rFonts w:hint="eastAsia" w:eastAsia="楷体"/>
                <w:b/>
                <w:color w:val="000000"/>
                <w:sz w:val="24"/>
              </w:rPr>
              <w:t>）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获得奖项和表彰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专著《条约冲突基础问题研究》获2009年中华人民共和国司法部第三届全国法学教材和科研成果三等奖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论文《国际法中的特别法优先原则》获2012年中国国际法学会“航天科工”优秀国际法科研成果奖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论文《“中美双反措施案”中的条约解释方法研究》获2012年中国法学会世界贸易组织法研究会优秀论文评选三等奖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论文《国际司法机构管辖权的冲突与协调》获2012年中国法学会第六届“中国青年法学”论坛论文评选优秀奖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2013年北京师范大学通鼎青年教师奖（本科）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2011、2012、2014年北京师范大学优秀研究生课程奖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2014、2015、2018、2021、2022年北京师范大学优秀新生导师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“讨论式教学法在世界贸易组织法课程中的运用”获2016年北京师范大学优秀研究生教学成果奖二等奖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“纯粹讨论式教学法的课程实践”获得2018年北京师范大学高等教育教学成果奖二等奖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《世界贸易组织法》获2018年北京师范大学本科教学方法改革示范课程奖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中国法学会“新秀100”人才支持计划（2013年至今）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北京市法学会“百名法学英才”荣誉称号（2018）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eastAsia="楷体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592E0B"/>
    <w:multiLevelType w:val="multilevel"/>
    <w:tmpl w:val="0E592E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MDAzZTRjMmI1NzQzODQ3Zjk3YWRlNDZkYTM3NTEifQ=="/>
  </w:docVars>
  <w:rsids>
    <w:rsidRoot w:val="AFFF087D"/>
    <w:rsid w:val="00012DFF"/>
    <w:rsid w:val="0003050F"/>
    <w:rsid w:val="00054A78"/>
    <w:rsid w:val="00057DFE"/>
    <w:rsid w:val="00086ECD"/>
    <w:rsid w:val="000F0BD6"/>
    <w:rsid w:val="000F2EDC"/>
    <w:rsid w:val="00133CEC"/>
    <w:rsid w:val="00142D1E"/>
    <w:rsid w:val="0017148E"/>
    <w:rsid w:val="001761E0"/>
    <w:rsid w:val="002014C6"/>
    <w:rsid w:val="002061E4"/>
    <w:rsid w:val="00234F71"/>
    <w:rsid w:val="00273D78"/>
    <w:rsid w:val="002A64D6"/>
    <w:rsid w:val="002B55A4"/>
    <w:rsid w:val="002C1E02"/>
    <w:rsid w:val="002E2308"/>
    <w:rsid w:val="00311F7B"/>
    <w:rsid w:val="00324B7C"/>
    <w:rsid w:val="003279E0"/>
    <w:rsid w:val="00336A0F"/>
    <w:rsid w:val="00340288"/>
    <w:rsid w:val="00344A20"/>
    <w:rsid w:val="003569FC"/>
    <w:rsid w:val="0035722B"/>
    <w:rsid w:val="00376A7D"/>
    <w:rsid w:val="00390290"/>
    <w:rsid w:val="003A6810"/>
    <w:rsid w:val="003B7910"/>
    <w:rsid w:val="003C275F"/>
    <w:rsid w:val="003D3E94"/>
    <w:rsid w:val="0040233A"/>
    <w:rsid w:val="0041651D"/>
    <w:rsid w:val="00433124"/>
    <w:rsid w:val="00434D0F"/>
    <w:rsid w:val="00460A9F"/>
    <w:rsid w:val="004619A2"/>
    <w:rsid w:val="0046649A"/>
    <w:rsid w:val="00491FF9"/>
    <w:rsid w:val="004933C1"/>
    <w:rsid w:val="004E2FC8"/>
    <w:rsid w:val="004F3C1E"/>
    <w:rsid w:val="00516CF3"/>
    <w:rsid w:val="0052358C"/>
    <w:rsid w:val="00531722"/>
    <w:rsid w:val="005353EE"/>
    <w:rsid w:val="00537E6E"/>
    <w:rsid w:val="005A0362"/>
    <w:rsid w:val="005A214F"/>
    <w:rsid w:val="005C526B"/>
    <w:rsid w:val="005D2D1F"/>
    <w:rsid w:val="006311AF"/>
    <w:rsid w:val="00632ED3"/>
    <w:rsid w:val="00654EEE"/>
    <w:rsid w:val="006552A2"/>
    <w:rsid w:val="00671A5F"/>
    <w:rsid w:val="006806AA"/>
    <w:rsid w:val="006A648A"/>
    <w:rsid w:val="006A73AD"/>
    <w:rsid w:val="006B52A5"/>
    <w:rsid w:val="006E51E1"/>
    <w:rsid w:val="00716875"/>
    <w:rsid w:val="00730BB6"/>
    <w:rsid w:val="00736403"/>
    <w:rsid w:val="0075043E"/>
    <w:rsid w:val="0077748A"/>
    <w:rsid w:val="00785092"/>
    <w:rsid w:val="007905A6"/>
    <w:rsid w:val="007C2867"/>
    <w:rsid w:val="007C37F0"/>
    <w:rsid w:val="007C58BC"/>
    <w:rsid w:val="007D0762"/>
    <w:rsid w:val="007D4009"/>
    <w:rsid w:val="007D798B"/>
    <w:rsid w:val="007F3ED6"/>
    <w:rsid w:val="00815262"/>
    <w:rsid w:val="00827820"/>
    <w:rsid w:val="008350B8"/>
    <w:rsid w:val="00843CA3"/>
    <w:rsid w:val="008976B9"/>
    <w:rsid w:val="008B47C9"/>
    <w:rsid w:val="008C7678"/>
    <w:rsid w:val="008F1618"/>
    <w:rsid w:val="00922FDE"/>
    <w:rsid w:val="00926B62"/>
    <w:rsid w:val="00936C37"/>
    <w:rsid w:val="009542BA"/>
    <w:rsid w:val="00956D4B"/>
    <w:rsid w:val="00967CAF"/>
    <w:rsid w:val="00970D60"/>
    <w:rsid w:val="00985BF4"/>
    <w:rsid w:val="009D68F4"/>
    <w:rsid w:val="00A100CA"/>
    <w:rsid w:val="00A14293"/>
    <w:rsid w:val="00A92458"/>
    <w:rsid w:val="00A924DF"/>
    <w:rsid w:val="00AB2890"/>
    <w:rsid w:val="00AB3A62"/>
    <w:rsid w:val="00AE3737"/>
    <w:rsid w:val="00AE64D8"/>
    <w:rsid w:val="00AF7417"/>
    <w:rsid w:val="00B27379"/>
    <w:rsid w:val="00B3585E"/>
    <w:rsid w:val="00B76B0C"/>
    <w:rsid w:val="00B855FF"/>
    <w:rsid w:val="00B90DF4"/>
    <w:rsid w:val="00B92AE4"/>
    <w:rsid w:val="00BA045C"/>
    <w:rsid w:val="00BB064E"/>
    <w:rsid w:val="00BC48D0"/>
    <w:rsid w:val="00BD51ED"/>
    <w:rsid w:val="00BD7B15"/>
    <w:rsid w:val="00BE00E6"/>
    <w:rsid w:val="00BF13F5"/>
    <w:rsid w:val="00C22297"/>
    <w:rsid w:val="00C47BFC"/>
    <w:rsid w:val="00C70FC6"/>
    <w:rsid w:val="00C71FCD"/>
    <w:rsid w:val="00C83EF8"/>
    <w:rsid w:val="00C97628"/>
    <w:rsid w:val="00CB60B2"/>
    <w:rsid w:val="00CB7369"/>
    <w:rsid w:val="00CC30C4"/>
    <w:rsid w:val="00CC7330"/>
    <w:rsid w:val="00CE5AED"/>
    <w:rsid w:val="00CE6429"/>
    <w:rsid w:val="00CF1C11"/>
    <w:rsid w:val="00CF4788"/>
    <w:rsid w:val="00D0202C"/>
    <w:rsid w:val="00D05976"/>
    <w:rsid w:val="00D8677F"/>
    <w:rsid w:val="00DB3E6B"/>
    <w:rsid w:val="00DB43C9"/>
    <w:rsid w:val="00DC34C4"/>
    <w:rsid w:val="00DD7996"/>
    <w:rsid w:val="00E04029"/>
    <w:rsid w:val="00E12248"/>
    <w:rsid w:val="00E429CC"/>
    <w:rsid w:val="00E56C00"/>
    <w:rsid w:val="00E77192"/>
    <w:rsid w:val="00E83912"/>
    <w:rsid w:val="00EA1DAB"/>
    <w:rsid w:val="00EA7781"/>
    <w:rsid w:val="00EE2F6F"/>
    <w:rsid w:val="00F05718"/>
    <w:rsid w:val="00F225A5"/>
    <w:rsid w:val="00F23010"/>
    <w:rsid w:val="00F546DD"/>
    <w:rsid w:val="00F56E78"/>
    <w:rsid w:val="00F61B04"/>
    <w:rsid w:val="00F730C1"/>
    <w:rsid w:val="00F8243F"/>
    <w:rsid w:val="00FB06D9"/>
    <w:rsid w:val="1EBD9178"/>
    <w:rsid w:val="22F037E2"/>
    <w:rsid w:val="2AFC63A7"/>
    <w:rsid w:val="2CEFB339"/>
    <w:rsid w:val="2DBF8C9C"/>
    <w:rsid w:val="2EFBBC48"/>
    <w:rsid w:val="3767EF61"/>
    <w:rsid w:val="3B9D0C2F"/>
    <w:rsid w:val="3BBF1B45"/>
    <w:rsid w:val="3DFF8C80"/>
    <w:rsid w:val="3EC73E68"/>
    <w:rsid w:val="3FAC72FC"/>
    <w:rsid w:val="3FDF6C0E"/>
    <w:rsid w:val="3FE95ABC"/>
    <w:rsid w:val="3FFB9F2C"/>
    <w:rsid w:val="4FEF5587"/>
    <w:rsid w:val="51944E47"/>
    <w:rsid w:val="53FBC16B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1FED79A"/>
    <w:rsid w:val="6F9B4CF3"/>
    <w:rsid w:val="6FAF0381"/>
    <w:rsid w:val="6FFF2EC6"/>
    <w:rsid w:val="7779E482"/>
    <w:rsid w:val="77A7E5E8"/>
    <w:rsid w:val="77DC1EF1"/>
    <w:rsid w:val="79F47A15"/>
    <w:rsid w:val="7A8FFAC6"/>
    <w:rsid w:val="7AFB59A5"/>
    <w:rsid w:val="7B75DFAF"/>
    <w:rsid w:val="7BDFCBFF"/>
    <w:rsid w:val="7BDFD308"/>
    <w:rsid w:val="7BF7A412"/>
    <w:rsid w:val="7BFF979D"/>
    <w:rsid w:val="7CFECE28"/>
    <w:rsid w:val="7DB18C74"/>
    <w:rsid w:val="7DBAEB37"/>
    <w:rsid w:val="7DBF1A34"/>
    <w:rsid w:val="7DEB2C32"/>
    <w:rsid w:val="7DFF523D"/>
    <w:rsid w:val="7E5F3199"/>
    <w:rsid w:val="7E911AB3"/>
    <w:rsid w:val="7EF35ADA"/>
    <w:rsid w:val="7EF7140D"/>
    <w:rsid w:val="7F7B04A8"/>
    <w:rsid w:val="7F7EF37E"/>
    <w:rsid w:val="7FA5EC14"/>
    <w:rsid w:val="7FD7D6B2"/>
    <w:rsid w:val="7FF37BAA"/>
    <w:rsid w:val="7FFFEFF5"/>
    <w:rsid w:val="9DBC5BFE"/>
    <w:rsid w:val="A7EB79A2"/>
    <w:rsid w:val="ABC2528A"/>
    <w:rsid w:val="ABFD3B40"/>
    <w:rsid w:val="AE8F304D"/>
    <w:rsid w:val="AFFF087D"/>
    <w:rsid w:val="B7D56515"/>
    <w:rsid w:val="B9EF54B5"/>
    <w:rsid w:val="BAFBEB54"/>
    <w:rsid w:val="BE3FDE16"/>
    <w:rsid w:val="BEFF65E4"/>
    <w:rsid w:val="BFBEBDC2"/>
    <w:rsid w:val="CEEA1601"/>
    <w:rsid w:val="D7371D03"/>
    <w:rsid w:val="D7B6957F"/>
    <w:rsid w:val="D7FE4373"/>
    <w:rsid w:val="DE7F24A6"/>
    <w:rsid w:val="DF75D07C"/>
    <w:rsid w:val="DFF64411"/>
    <w:rsid w:val="E6FBBF93"/>
    <w:rsid w:val="ED661AE8"/>
    <w:rsid w:val="ED796785"/>
    <w:rsid w:val="EDFF9236"/>
    <w:rsid w:val="EEFDCF1B"/>
    <w:rsid w:val="EF358C7A"/>
    <w:rsid w:val="EFBFEC5E"/>
    <w:rsid w:val="F2715785"/>
    <w:rsid w:val="F3D759E3"/>
    <w:rsid w:val="F7376D2C"/>
    <w:rsid w:val="F7AF7DD2"/>
    <w:rsid w:val="F7D795C4"/>
    <w:rsid w:val="F7EBAB76"/>
    <w:rsid w:val="FAFBA160"/>
    <w:rsid w:val="FB7D3184"/>
    <w:rsid w:val="FBBB15C9"/>
    <w:rsid w:val="FBDBA10B"/>
    <w:rsid w:val="FBF77622"/>
    <w:rsid w:val="FE7F89ED"/>
    <w:rsid w:val="FF6D7F3E"/>
    <w:rsid w:val="FFAD001C"/>
    <w:rsid w:val="FFBF67D3"/>
    <w:rsid w:val="FFD77033"/>
    <w:rsid w:val="FFDD7C15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7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1870</Words>
  <Characters>10661</Characters>
  <Lines>88</Lines>
  <Paragraphs>25</Paragraphs>
  <TotalTime>11</TotalTime>
  <ScaleCrop>false</ScaleCrop>
  <LinksUpToDate>false</LinksUpToDate>
  <CharactersWithSpaces>12506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2023-02-19T20:46:00Z</dcterms:created>
  <dc:creator>fxhuser</dc:creator>
  <cp:lastModifiedBy>fxhuser</cp:lastModifiedBy>
  <cp:lastPrinted>2023-03-14T16:59:00Z</cp:lastPrinted>
  <dcterms:modified xsi:type="dcterms:W3CDTF">2023-04-27T17:25:48Z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492D4E386BAB48E6BF588672D181ECCE</vt:lpwstr>
  </property>
</Properties>
</file>