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40" w:lineRule="exact"/>
        <w:rPr>
          <w:rFonts w:ascii="仿宋_GB2312" w:hAnsi="宋体" w:eastAsia="仿宋"/>
          <w:bCs/>
          <w:color w:val="000000"/>
          <w:kern w:val="0"/>
          <w:sz w:val="32"/>
          <w:szCs w:val="32"/>
        </w:rPr>
      </w:pPr>
    </w:p>
    <w:p>
      <w:pPr>
        <w:jc w:val="center"/>
        <w:rPr>
          <w:rFonts w:ascii="宋体" w:hAnsi="宋体"/>
          <w:b/>
          <w:bCs/>
          <w:sz w:val="32"/>
          <w:szCs w:val="32"/>
        </w:rPr>
      </w:pPr>
    </w:p>
    <w:p>
      <w:pPr>
        <w:jc w:val="center"/>
      </w:pPr>
    </w:p>
    <w:p>
      <w:pPr>
        <w:jc w:val="center"/>
      </w:pPr>
      <w:r>
        <w:drawing>
          <wp:inline distT="0" distB="0" distL="0" distR="0">
            <wp:extent cx="1483995" cy="1428750"/>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83995" cy="1428750"/>
                    </a:xfrm>
                    <a:prstGeom prst="rect">
                      <a:avLst/>
                    </a:prstGeom>
                    <a:noFill/>
                    <a:ln>
                      <a:noFill/>
                    </a:ln>
                  </pic:spPr>
                </pic:pic>
              </a:graphicData>
            </a:graphic>
          </wp:inline>
        </w:drawing>
      </w:r>
    </w:p>
    <w:p/>
    <w:p/>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第十届“全国杰出青年法学家”</w:t>
      </w:r>
    </w:p>
    <w:p>
      <w:pPr>
        <w:spacing w:line="700" w:lineRule="exact"/>
        <w:jc w:val="center"/>
        <w:rPr>
          <w:rFonts w:ascii="方正小标宋_GBK" w:eastAsia="方正小标宋_GBK"/>
          <w:b/>
          <w:bCs/>
          <w:sz w:val="44"/>
          <w:szCs w:val="44"/>
        </w:rPr>
      </w:pPr>
      <w:r>
        <w:rPr>
          <w:rFonts w:hint="eastAsia" w:ascii="方正小标宋_GBK" w:eastAsia="方正小标宋_GBK"/>
          <w:b/>
          <w:bCs/>
          <w:sz w:val="44"/>
          <w:szCs w:val="44"/>
        </w:rPr>
        <w:t>推荐表</w:t>
      </w:r>
    </w:p>
    <w:p/>
    <w:p/>
    <w:p/>
    <w:p/>
    <w:p/>
    <w:p/>
    <w:p>
      <w:pPr>
        <w:snapToGrid w:val="0"/>
        <w:rPr>
          <w:sz w:val="28"/>
          <w:szCs w:val="28"/>
        </w:rPr>
      </w:pPr>
    </w:p>
    <w:p>
      <w:pPr>
        <w:snapToGrid w:val="0"/>
        <w:rPr>
          <w:sz w:val="28"/>
          <w:szCs w:val="28"/>
        </w:rPr>
      </w:pPr>
    </w:p>
    <w:p>
      <w:pPr>
        <w:snapToGrid w:val="0"/>
        <w:rPr>
          <w:sz w:val="28"/>
          <w:szCs w:val="28"/>
        </w:rPr>
      </w:pPr>
    </w:p>
    <w:p>
      <w:pPr>
        <w:snapToGrid w:val="0"/>
        <w:ind w:firstLine="643" w:firstLineChars="200"/>
        <w:rPr>
          <w:rFonts w:eastAsia="仿宋_GB2312"/>
          <w:b/>
          <w:bCs/>
          <w:sz w:val="32"/>
          <w:szCs w:val="32"/>
          <w:u w:val="single"/>
        </w:rPr>
      </w:pPr>
      <w:r>
        <w:rPr>
          <w:rFonts w:hint="eastAsia" w:eastAsia="仿宋_GB2312"/>
          <w:b/>
          <w:bCs/>
          <w:sz w:val="32"/>
          <w:szCs w:val="32"/>
        </w:rPr>
        <w:t>姓    名</w:t>
      </w:r>
      <w:r>
        <w:rPr>
          <w:rFonts w:hint="eastAsia" w:eastAsia="仿宋_GB2312"/>
          <w:b/>
          <w:bCs/>
          <w:sz w:val="32"/>
          <w:szCs w:val="32"/>
          <w:u w:val="single"/>
        </w:rPr>
        <w:t xml:space="preserve">            </w:t>
      </w:r>
      <w:r>
        <w:rPr>
          <w:rFonts w:eastAsia="仿宋_GB2312"/>
          <w:b/>
          <w:bCs/>
          <w:sz w:val="32"/>
          <w:szCs w:val="32"/>
          <w:u w:val="single"/>
        </w:rPr>
        <w:t xml:space="preserve">   </w:t>
      </w:r>
      <w:r>
        <w:rPr>
          <w:rFonts w:hint="eastAsia" w:eastAsia="仿宋_GB2312"/>
          <w:b/>
          <w:bCs/>
          <w:sz w:val="32"/>
          <w:szCs w:val="32"/>
          <w:u w:val="single"/>
        </w:rPr>
        <w:t xml:space="preserve">段文波        </w:t>
      </w:r>
      <w:r>
        <w:rPr>
          <w:rFonts w:eastAsia="仿宋_GB2312"/>
          <w:b/>
          <w:bCs/>
          <w:sz w:val="32"/>
          <w:szCs w:val="32"/>
          <w:u w:val="single"/>
        </w:rPr>
        <w:t xml:space="preserve"> </w:t>
      </w:r>
      <w:r>
        <w:rPr>
          <w:rFonts w:hint="eastAsia" w:eastAsia="仿宋_GB2312"/>
          <w:b/>
          <w:bCs/>
          <w:sz w:val="32"/>
          <w:szCs w:val="32"/>
          <w:u w:val="single"/>
        </w:rPr>
        <w:t xml:space="preserve">  </w:t>
      </w:r>
      <w:r>
        <w:rPr>
          <w:rFonts w:eastAsia="仿宋_GB2312"/>
          <w:b/>
          <w:bCs/>
          <w:sz w:val="32"/>
          <w:szCs w:val="32"/>
          <w:u w:val="single"/>
        </w:rPr>
        <w:t xml:space="preserve"> </w:t>
      </w:r>
      <w:r>
        <w:rPr>
          <w:rFonts w:hint="eastAsia" w:eastAsia="仿宋_GB2312"/>
          <w:b/>
          <w:bCs/>
          <w:sz w:val="32"/>
          <w:szCs w:val="32"/>
          <w:u w:val="single"/>
        </w:rPr>
        <w:t xml:space="preserve">      </w:t>
      </w:r>
    </w:p>
    <w:p>
      <w:pPr>
        <w:snapToGrid w:val="0"/>
        <w:rPr>
          <w:rFonts w:eastAsia="仿宋_GB2312"/>
          <w:b/>
          <w:bCs/>
          <w:sz w:val="28"/>
          <w:szCs w:val="28"/>
          <w:u w:val="single"/>
        </w:rPr>
      </w:pPr>
    </w:p>
    <w:p>
      <w:pPr>
        <w:snapToGrid w:val="0"/>
        <w:ind w:firstLine="643" w:firstLineChars="200"/>
        <w:rPr>
          <w:rFonts w:eastAsia="仿宋_GB2312"/>
          <w:b/>
          <w:bCs/>
          <w:sz w:val="32"/>
          <w:szCs w:val="32"/>
          <w:u w:val="single"/>
        </w:rPr>
      </w:pPr>
      <w:r>
        <w:rPr>
          <w:rFonts w:hint="eastAsia" w:eastAsia="仿宋_GB2312"/>
          <w:b/>
          <w:bCs/>
          <w:sz w:val="32"/>
          <w:szCs w:val="32"/>
        </w:rPr>
        <w:t>工作单位</w:t>
      </w:r>
      <w:r>
        <w:rPr>
          <w:rFonts w:hint="eastAsia" w:eastAsia="仿宋_GB2312"/>
          <w:b/>
          <w:bCs/>
          <w:sz w:val="32"/>
          <w:szCs w:val="32"/>
          <w:u w:val="single"/>
        </w:rPr>
        <w:t xml:space="preserve">         </w:t>
      </w:r>
      <w:r>
        <w:rPr>
          <w:rFonts w:eastAsia="仿宋_GB2312"/>
          <w:b/>
          <w:bCs/>
          <w:sz w:val="32"/>
          <w:szCs w:val="32"/>
          <w:u w:val="single"/>
        </w:rPr>
        <w:t xml:space="preserve">   </w:t>
      </w:r>
      <w:r>
        <w:rPr>
          <w:rFonts w:hint="eastAsia" w:eastAsia="仿宋_GB2312"/>
          <w:b/>
          <w:bCs/>
          <w:sz w:val="32"/>
          <w:szCs w:val="32"/>
          <w:u w:val="single"/>
        </w:rPr>
        <w:t xml:space="preserve">西南政法大学     </w:t>
      </w:r>
      <w:r>
        <w:rPr>
          <w:rFonts w:eastAsia="仿宋_GB2312"/>
          <w:b/>
          <w:bCs/>
          <w:sz w:val="32"/>
          <w:szCs w:val="32"/>
          <w:u w:val="single"/>
        </w:rPr>
        <w:t xml:space="preserve"> </w:t>
      </w:r>
      <w:r>
        <w:rPr>
          <w:rFonts w:hint="eastAsia" w:eastAsia="仿宋_GB2312"/>
          <w:b/>
          <w:bCs/>
          <w:sz w:val="32"/>
          <w:szCs w:val="32"/>
          <w:u w:val="single"/>
        </w:rPr>
        <w:t xml:space="preserve">  </w:t>
      </w:r>
      <w:r>
        <w:rPr>
          <w:rFonts w:eastAsia="仿宋_GB2312"/>
          <w:b/>
          <w:bCs/>
          <w:sz w:val="32"/>
          <w:szCs w:val="32"/>
          <w:u w:val="single"/>
        </w:rPr>
        <w:t xml:space="preserve"> </w:t>
      </w:r>
      <w:r>
        <w:rPr>
          <w:rFonts w:hint="eastAsia" w:eastAsia="仿宋_GB2312"/>
          <w:b/>
          <w:bCs/>
          <w:sz w:val="32"/>
          <w:szCs w:val="32"/>
          <w:u w:val="single"/>
        </w:rPr>
        <w:t xml:space="preserve">      </w:t>
      </w:r>
    </w:p>
    <w:p>
      <w:pPr>
        <w:snapToGrid w:val="0"/>
        <w:rPr>
          <w:rFonts w:eastAsia="仿宋_GB2312"/>
          <w:b/>
          <w:bCs/>
          <w:sz w:val="28"/>
          <w:szCs w:val="28"/>
          <w:u w:val="single"/>
        </w:rPr>
      </w:pPr>
    </w:p>
    <w:p>
      <w:pPr>
        <w:snapToGrid w:val="0"/>
        <w:ind w:firstLine="643" w:firstLineChars="200"/>
        <w:rPr>
          <w:rFonts w:hint="eastAsia" w:eastAsia="仿宋_GB2312"/>
          <w:b/>
          <w:bCs/>
          <w:sz w:val="32"/>
          <w:szCs w:val="32"/>
          <w:u w:val="single"/>
        </w:rPr>
      </w:pPr>
      <w:r>
        <w:rPr>
          <w:rFonts w:hint="eastAsia" w:eastAsia="仿宋_GB2312"/>
          <w:b/>
          <w:bCs/>
          <w:sz w:val="32"/>
          <w:szCs w:val="32"/>
        </w:rPr>
        <w:t>推荐单位</w:t>
      </w:r>
      <w:r>
        <w:rPr>
          <w:rFonts w:hint="eastAsia" w:eastAsia="仿宋_GB2312"/>
          <w:b/>
          <w:bCs/>
          <w:sz w:val="32"/>
          <w:szCs w:val="32"/>
          <w:u w:val="single"/>
        </w:rPr>
        <w:t xml:space="preserve">  </w:t>
      </w:r>
      <w:r>
        <w:rPr>
          <w:rFonts w:hint="eastAsia" w:eastAsia="仿宋_GB2312"/>
          <w:b/>
          <w:bCs/>
          <w:sz w:val="32"/>
          <w:szCs w:val="32"/>
          <w:u w:val="single"/>
          <w:lang w:val="en-US" w:eastAsia="zh-CN"/>
        </w:rPr>
        <w:t xml:space="preserve">   </w:t>
      </w:r>
      <w:r>
        <w:rPr>
          <w:rFonts w:hint="eastAsia" w:eastAsia="仿宋_GB2312"/>
          <w:b/>
          <w:bCs/>
          <w:sz w:val="32"/>
          <w:szCs w:val="32"/>
          <w:u w:val="single"/>
        </w:rPr>
        <w:t xml:space="preserve">中国法学会民事诉讼法学研究会 </w:t>
      </w:r>
      <w:r>
        <w:rPr>
          <w:rFonts w:hint="default" w:eastAsia="仿宋_GB2312"/>
          <w:b/>
          <w:bCs/>
          <w:sz w:val="32"/>
          <w:szCs w:val="32"/>
          <w:u w:val="single"/>
        </w:rPr>
        <w:t xml:space="preserve">      </w:t>
      </w:r>
      <w:r>
        <w:rPr>
          <w:rFonts w:hint="eastAsia" w:eastAsia="仿宋_GB2312"/>
          <w:b/>
          <w:bCs/>
          <w:sz w:val="32"/>
          <w:szCs w:val="32"/>
          <w:u w:val="single"/>
        </w:rPr>
        <w:t xml:space="preserve">  </w:t>
      </w:r>
    </w:p>
    <w:p>
      <w:pPr>
        <w:snapToGrid w:val="0"/>
        <w:ind w:firstLine="643" w:firstLineChars="200"/>
        <w:rPr>
          <w:rFonts w:hint="default" w:eastAsia="仿宋_GB2312"/>
          <w:b/>
          <w:bCs/>
          <w:sz w:val="32"/>
          <w:szCs w:val="32"/>
          <w:u w:val="single"/>
        </w:rPr>
      </w:pPr>
      <w:r>
        <w:rPr>
          <w:rFonts w:hint="eastAsia" w:eastAsia="仿宋_GB2312"/>
          <w:b/>
          <w:bCs/>
          <w:sz w:val="32"/>
          <w:szCs w:val="32"/>
          <w:u w:val="none"/>
        </w:rPr>
        <w:t xml:space="preserve">      </w:t>
      </w:r>
      <w:r>
        <w:rPr>
          <w:rFonts w:hint="default" w:eastAsia="仿宋_GB2312"/>
          <w:b/>
          <w:bCs/>
          <w:sz w:val="32"/>
          <w:szCs w:val="32"/>
          <w:u w:val="none"/>
        </w:rPr>
        <w:t xml:space="preserve">  </w:t>
      </w:r>
      <w:r>
        <w:rPr>
          <w:rFonts w:hint="default" w:eastAsia="仿宋_GB2312"/>
          <w:b/>
          <w:bCs/>
          <w:sz w:val="32"/>
          <w:szCs w:val="32"/>
          <w:u w:val="single"/>
        </w:rPr>
        <w:t xml:space="preserve">            </w:t>
      </w:r>
      <w:r>
        <w:rPr>
          <w:rFonts w:hint="eastAsia" w:eastAsia="仿宋_GB2312"/>
          <w:b/>
          <w:bCs/>
          <w:sz w:val="32"/>
          <w:szCs w:val="32"/>
          <w:u w:val="single"/>
          <w:lang w:val="en-US" w:eastAsia="zh-Hans"/>
        </w:rPr>
        <w:t>西南政法大学</w:t>
      </w:r>
      <w:r>
        <w:rPr>
          <w:rFonts w:hint="eastAsia" w:eastAsia="仿宋_GB2312"/>
          <w:b/>
          <w:bCs/>
          <w:sz w:val="32"/>
          <w:szCs w:val="32"/>
          <w:u w:val="single"/>
        </w:rPr>
        <w:t xml:space="preserve">   </w:t>
      </w:r>
      <w:r>
        <w:rPr>
          <w:rFonts w:hint="default" w:eastAsia="仿宋_GB2312"/>
          <w:b/>
          <w:bCs/>
          <w:sz w:val="32"/>
          <w:szCs w:val="32"/>
          <w:u w:val="single"/>
        </w:rPr>
        <w:t xml:space="preserve">            </w:t>
      </w: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snapToGrid w:val="0"/>
        <w:rPr>
          <w:rFonts w:eastAsia="仿宋_GB2312"/>
          <w:b/>
          <w:bCs/>
          <w:szCs w:val="21"/>
          <w:u w:val="single"/>
        </w:rPr>
      </w:pPr>
    </w:p>
    <w:p>
      <w:pPr>
        <w:ind w:firstLine="3360" w:firstLineChars="1050"/>
        <w:rPr>
          <w:rFonts w:ascii="宋体" w:hAnsi="Arial Narrow"/>
          <w:sz w:val="32"/>
          <w:szCs w:val="32"/>
        </w:rPr>
      </w:pPr>
      <w:r>
        <w:rPr>
          <w:rFonts w:hint="eastAsia" w:ascii="宋体" w:hAnsi="Arial Narrow"/>
          <w:sz w:val="32"/>
          <w:szCs w:val="32"/>
        </w:rPr>
        <w:t>中国法学会</w:t>
      </w:r>
    </w:p>
    <w:p>
      <w:pPr>
        <w:snapToGrid w:val="0"/>
        <w:jc w:val="center"/>
        <w:rPr>
          <w:rFonts w:eastAsia="仿宋_GB2312"/>
          <w:b/>
          <w:bCs/>
          <w:szCs w:val="21"/>
          <w:u w:val="single"/>
        </w:rPr>
      </w:pPr>
      <w:r>
        <w:rPr>
          <w:rFonts w:hint="eastAsia" w:ascii="宋体" w:hAnsi="Arial Narrow"/>
          <w:sz w:val="32"/>
          <w:szCs w:val="32"/>
        </w:rPr>
        <w:t>202</w:t>
      </w:r>
      <w:r>
        <w:rPr>
          <w:rFonts w:ascii="宋体" w:hAnsi="Arial Narrow"/>
          <w:sz w:val="32"/>
          <w:szCs w:val="32"/>
          <w:lang w:val="en"/>
        </w:rPr>
        <w:t>2</w:t>
      </w:r>
      <w:r>
        <w:rPr>
          <w:rFonts w:hint="eastAsia" w:ascii="宋体" w:hAnsi="Arial Narrow"/>
          <w:sz w:val="32"/>
          <w:szCs w:val="32"/>
        </w:rPr>
        <w:t>年</w:t>
      </w:r>
      <w:r>
        <w:rPr>
          <w:rFonts w:ascii="宋体" w:hAnsi="Arial Narrow"/>
          <w:sz w:val="32"/>
          <w:szCs w:val="32"/>
          <w:lang w:val="en"/>
        </w:rPr>
        <w:t>12</w:t>
      </w:r>
      <w:r>
        <w:rPr>
          <w:rFonts w:hint="eastAsia" w:ascii="宋体" w:hAnsi="Arial Narrow"/>
          <w:sz w:val="32"/>
          <w:szCs w:val="32"/>
        </w:rPr>
        <w:t>月印制</w:t>
      </w:r>
    </w:p>
    <w:p>
      <w:pPr>
        <w:snapToGrid w:val="0"/>
        <w:rPr>
          <w:rFonts w:eastAsia="仿宋_GB2312"/>
          <w:szCs w:val="21"/>
        </w:rPr>
      </w:pPr>
    </w:p>
    <w:p>
      <w:pPr>
        <w:spacing w:line="440" w:lineRule="exact"/>
        <w:jc w:val="center"/>
        <w:rPr>
          <w:rFonts w:ascii="Arial Narrow" w:hAnsi="Arial Narrow"/>
          <w:b/>
          <w:sz w:val="30"/>
        </w:rPr>
      </w:pPr>
    </w:p>
    <w:p>
      <w:pPr>
        <w:spacing w:line="440" w:lineRule="exact"/>
        <w:jc w:val="center"/>
        <w:rPr>
          <w:rFonts w:ascii="仿宋" w:hAnsi="仿宋" w:eastAsia="仿宋"/>
          <w:b/>
          <w:sz w:val="32"/>
          <w:szCs w:val="32"/>
        </w:rPr>
      </w:pPr>
      <w:r>
        <w:rPr>
          <w:rFonts w:hint="eastAsia" w:ascii="仿宋" w:hAnsi="仿宋" w:eastAsia="仿宋"/>
          <w:b/>
          <w:sz w:val="32"/>
          <w:szCs w:val="32"/>
        </w:rPr>
        <w:t>填</w:t>
      </w:r>
      <w:r>
        <w:rPr>
          <w:rFonts w:ascii="仿宋" w:hAnsi="仿宋" w:eastAsia="仿宋"/>
          <w:b/>
          <w:sz w:val="32"/>
          <w:szCs w:val="32"/>
        </w:rPr>
        <w:t xml:space="preserve">  </w:t>
      </w:r>
      <w:r>
        <w:rPr>
          <w:rFonts w:hint="eastAsia" w:ascii="仿宋" w:hAnsi="仿宋" w:eastAsia="仿宋"/>
          <w:b/>
          <w:sz w:val="32"/>
          <w:szCs w:val="32"/>
        </w:rPr>
        <w:t>表</w:t>
      </w:r>
      <w:r>
        <w:rPr>
          <w:rFonts w:ascii="仿宋" w:hAnsi="仿宋" w:eastAsia="仿宋"/>
          <w:b/>
          <w:sz w:val="32"/>
          <w:szCs w:val="32"/>
        </w:rPr>
        <w:t xml:space="preserve">  </w:t>
      </w:r>
      <w:r>
        <w:rPr>
          <w:rFonts w:hint="eastAsia" w:ascii="仿宋" w:hAnsi="仿宋" w:eastAsia="仿宋"/>
          <w:b/>
          <w:sz w:val="32"/>
          <w:szCs w:val="32"/>
        </w:rPr>
        <w:t>说</w:t>
      </w:r>
      <w:r>
        <w:rPr>
          <w:rFonts w:ascii="仿宋" w:hAnsi="仿宋" w:eastAsia="仿宋"/>
          <w:b/>
          <w:sz w:val="32"/>
          <w:szCs w:val="32"/>
        </w:rPr>
        <w:t xml:space="preserve">  </w:t>
      </w:r>
      <w:r>
        <w:rPr>
          <w:rFonts w:hint="eastAsia" w:ascii="仿宋" w:hAnsi="仿宋" w:eastAsia="仿宋"/>
          <w:b/>
          <w:sz w:val="32"/>
          <w:szCs w:val="32"/>
        </w:rPr>
        <w:t>明</w:t>
      </w:r>
    </w:p>
    <w:p>
      <w:pPr>
        <w:spacing w:line="480" w:lineRule="exact"/>
        <w:ind w:firstLine="560" w:firstLineChars="200"/>
        <w:rPr>
          <w:rFonts w:ascii="仿宋" w:hAnsi="仿宋" w:eastAsia="仿宋"/>
          <w:sz w:val="28"/>
          <w:szCs w:val="28"/>
        </w:rPr>
      </w:pPr>
    </w:p>
    <w:p>
      <w:pPr>
        <w:numPr>
          <w:ilvl w:val="0"/>
          <w:numId w:val="1"/>
        </w:numPr>
        <w:spacing w:line="560" w:lineRule="exact"/>
        <w:ind w:firstLine="560" w:firstLineChars="200"/>
        <w:rPr>
          <w:rFonts w:ascii="仿宋" w:hAnsi="仿宋" w:eastAsia="仿宋"/>
          <w:sz w:val="28"/>
          <w:szCs w:val="28"/>
        </w:rPr>
      </w:pPr>
      <w:r>
        <w:rPr>
          <w:rFonts w:hint="eastAsia" w:ascii="仿宋" w:hAnsi="仿宋" w:eastAsia="仿宋"/>
          <w:sz w:val="28"/>
          <w:szCs w:val="28"/>
        </w:rPr>
        <w:t>表一为推荐单位填写或指导推荐候选人填写，表二为推荐候选人工作单位上级党委（党组）填写并盖章，表三为推荐候选人工作单位上级纪检监察部门填写并盖章，表四为推荐单位填写并盖章。</w:t>
      </w:r>
    </w:p>
    <w:p>
      <w:pPr>
        <w:spacing w:line="560" w:lineRule="exact"/>
        <w:rPr>
          <w:rFonts w:ascii="仿宋" w:hAnsi="仿宋" w:eastAsia="仿宋"/>
          <w:sz w:val="28"/>
          <w:szCs w:val="28"/>
        </w:rPr>
      </w:pPr>
      <w:r>
        <w:rPr>
          <w:rFonts w:hint="eastAsia" w:ascii="仿宋" w:hAnsi="仿宋" w:eastAsia="仿宋"/>
          <w:sz w:val="28"/>
          <w:szCs w:val="28"/>
        </w:rPr>
        <w:t xml:space="preserve">    例如，推荐候选人为某大学法学院教授的，表二应由该大学党委填写并盖章，表三应由该大学纪委填写并盖章，表四应由该大学法学院填写并盖章。</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二、推荐单位需填写推荐评选委员会投票情况、推荐意见（每人500字以内）。</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三、请用计算机填写，可根据实际需要分栏，但勿随意变动格式及字体字号。</w:t>
      </w:r>
    </w:p>
    <w:p>
      <w:pPr>
        <w:spacing w:line="560" w:lineRule="exact"/>
        <w:ind w:firstLine="560" w:firstLineChars="200"/>
        <w:rPr>
          <w:rFonts w:ascii="仿宋" w:hAnsi="仿宋" w:eastAsia="仿宋"/>
          <w:sz w:val="28"/>
          <w:szCs w:val="28"/>
        </w:rPr>
      </w:pPr>
      <w:r>
        <w:rPr>
          <w:rFonts w:hint="eastAsia" w:ascii="仿宋" w:hAnsi="仿宋" w:eastAsia="仿宋"/>
          <w:sz w:val="28"/>
          <w:szCs w:val="28"/>
        </w:rPr>
        <w:t>四、请各推荐单位于2023年3月20日之前，将</w:t>
      </w:r>
      <w:r>
        <w:fldChar w:fldCharType="begin"/>
      </w:r>
      <w:r>
        <w:instrText xml:space="preserve"> HYPERLINK "mailto:本表电子版发至邮箱qnfxj2016@126.com" </w:instrText>
      </w:r>
      <w:r>
        <w:fldChar w:fldCharType="separate"/>
      </w:r>
      <w:r>
        <w:rPr>
          <w:rFonts w:hint="eastAsia" w:ascii="仿宋" w:hAnsi="仿宋" w:eastAsia="仿宋"/>
          <w:sz w:val="28"/>
          <w:szCs w:val="28"/>
        </w:rPr>
        <w:t>本表电子版发至指定邮箱</w:t>
      </w:r>
      <w:r>
        <w:rPr>
          <w:rFonts w:hint="eastAsia" w:ascii="仿宋" w:hAnsi="仿宋" w:eastAsia="仿宋"/>
          <w:sz w:val="28"/>
          <w:szCs w:val="28"/>
        </w:rPr>
        <w:fldChar w:fldCharType="end"/>
      </w:r>
      <w:r>
        <w:rPr>
          <w:rFonts w:hint="eastAsia" w:ascii="仿宋" w:hAnsi="仿宋" w:eastAsia="仿宋"/>
          <w:sz w:val="28"/>
          <w:szCs w:val="28"/>
        </w:rPr>
        <w:t>。纸质版以A4纸打印一式四份，连同推荐评选情况报告、推荐候选人身份证复印件、推荐候选人代表性学术专著1-2部（独著）、学术论文3-5篇（独著或第一作者）、重要荣誉证书或证明复印件各一式一份，寄至指定地址。</w:t>
      </w:r>
    </w:p>
    <w:p>
      <w:pPr>
        <w:spacing w:line="560" w:lineRule="exact"/>
        <w:ind w:firstLine="560" w:firstLineChars="200"/>
        <w:rPr>
          <w:rFonts w:ascii="仿宋" w:hAnsi="仿宋" w:eastAsia="仿宋"/>
          <w:sz w:val="28"/>
          <w:szCs w:val="28"/>
        </w:rPr>
      </w:pP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联 系 人：魏丽莎 于晓航  010-66</w:t>
      </w:r>
      <w:r>
        <w:rPr>
          <w:rFonts w:ascii="仿宋" w:hAnsi="仿宋" w:eastAsia="仿宋"/>
          <w:color w:val="000000"/>
          <w:sz w:val="28"/>
          <w:szCs w:val="28"/>
          <w:lang w:val="en"/>
        </w:rPr>
        <w:t>1</w:t>
      </w:r>
      <w:r>
        <w:rPr>
          <w:rFonts w:hint="eastAsia" w:ascii="仿宋" w:hAnsi="仿宋" w:eastAsia="仿宋"/>
          <w:color w:val="000000"/>
          <w:sz w:val="28"/>
          <w:szCs w:val="28"/>
        </w:rPr>
        <w:t>23109</w:t>
      </w:r>
    </w:p>
    <w:p>
      <w:pPr>
        <w:snapToGrid w:val="0"/>
        <w:spacing w:line="560" w:lineRule="exact"/>
        <w:ind w:firstLine="560" w:firstLineChars="200"/>
        <w:rPr>
          <w:rFonts w:ascii="仿宋" w:hAnsi="仿宋" w:eastAsia="仿宋"/>
          <w:color w:val="000000"/>
          <w:spacing w:val="-6"/>
          <w:sz w:val="28"/>
          <w:szCs w:val="28"/>
        </w:rPr>
      </w:pPr>
      <w:r>
        <w:rPr>
          <w:rFonts w:hint="eastAsia" w:ascii="仿宋" w:hAnsi="仿宋" w:eastAsia="仿宋"/>
          <w:color w:val="000000"/>
          <w:sz w:val="28"/>
          <w:szCs w:val="28"/>
        </w:rPr>
        <w:t>邮寄地址：</w:t>
      </w:r>
      <w:r>
        <w:rPr>
          <w:rFonts w:hint="eastAsia" w:ascii="仿宋" w:hAnsi="仿宋" w:eastAsia="仿宋"/>
          <w:color w:val="000000"/>
          <w:spacing w:val="-6"/>
          <w:sz w:val="28"/>
          <w:szCs w:val="28"/>
        </w:rPr>
        <w:t>北京市海淀区皂君庙4号中国法学会研究部1334室</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邮    编：100081</w:t>
      </w:r>
    </w:p>
    <w:p>
      <w:pPr>
        <w:snapToGrid w:val="0"/>
        <w:spacing w:line="56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电子邮箱：qnfxj2022@163.com</w:t>
      </w:r>
    </w:p>
    <w:p>
      <w:pPr>
        <w:rPr>
          <w:rFonts w:ascii="宋体" w:hAnsi="宋体"/>
          <w:b/>
          <w:bCs/>
          <w:color w:val="000000"/>
          <w:sz w:val="24"/>
        </w:rPr>
        <w:sectPr>
          <w:footerReference r:id="rId3" w:type="default"/>
          <w:pgSz w:w="11906" w:h="16838"/>
          <w:pgMar w:top="1440" w:right="1800" w:bottom="1440" w:left="1800" w:header="851" w:footer="992" w:gutter="0"/>
          <w:cols w:space="720" w:num="1"/>
          <w:docGrid w:type="lines" w:linePitch="312" w:charSpace="0"/>
        </w:sectPr>
      </w:pPr>
    </w:p>
    <w:tbl>
      <w:tblPr>
        <w:tblStyle w:val="8"/>
        <w:tblpPr w:leftFromText="180" w:rightFromText="180" w:vertAnchor="text" w:horzAnchor="page" w:tblpX="1732" w:tblpY="-227"/>
        <w:tblOverlap w:val="never"/>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04"/>
        <w:gridCol w:w="1276"/>
        <w:gridCol w:w="201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4" w:hRule="atLeast"/>
        </w:trPr>
        <w:tc>
          <w:tcPr>
            <w:tcW w:w="9000" w:type="dxa"/>
            <w:gridSpan w:val="5"/>
            <w:tcBorders>
              <w:bottom w:val="single" w:color="000000" w:sz="4" w:space="0"/>
            </w:tcBorders>
            <w:vAlign w:val="center"/>
          </w:tcPr>
          <w:p>
            <w:pPr>
              <w:snapToGrid w:val="0"/>
              <w:rPr>
                <w:rFonts w:ascii="华文中宋" w:hAnsi="华文中宋" w:eastAsia="华文中宋"/>
                <w:b/>
                <w:color w:val="000000"/>
                <w:sz w:val="30"/>
                <w:szCs w:val="30"/>
              </w:rPr>
            </w:pPr>
            <w:r>
              <w:rPr>
                <w:rFonts w:hint="eastAsia" w:ascii="华文中宋" w:hAnsi="华文中宋" w:eastAsia="华文中宋"/>
                <w:b/>
                <w:color w:val="000000"/>
                <w:sz w:val="30"/>
                <w:szCs w:val="30"/>
              </w:rPr>
              <w:t>表一：推荐候选人情况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620" w:type="dxa"/>
            <w:tcBorders>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姓    名</w:t>
            </w:r>
          </w:p>
        </w:tc>
        <w:tc>
          <w:tcPr>
            <w:tcW w:w="2104"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段文波</w:t>
            </w:r>
          </w:p>
        </w:tc>
        <w:tc>
          <w:tcPr>
            <w:tcW w:w="1276"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性    别</w:t>
            </w:r>
          </w:p>
        </w:tc>
        <w:tc>
          <w:tcPr>
            <w:tcW w:w="2016" w:type="dxa"/>
            <w:tcBorders>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男</w:t>
            </w:r>
          </w:p>
        </w:tc>
        <w:tc>
          <w:tcPr>
            <w:tcW w:w="1984" w:type="dxa"/>
            <w:vMerge w:val="restart"/>
            <w:tcBorders>
              <w:left w:val="single" w:color="000000" w:sz="4" w:space="0"/>
            </w:tcBorders>
            <w:vAlign w:val="center"/>
          </w:tcPr>
          <w:p>
            <w:pPr>
              <w:snapToGrid w:val="0"/>
              <w:jc w:val="center"/>
              <w:rPr>
                <w:rFonts w:ascii="宋体" w:hAnsi="宋体"/>
                <w:b/>
                <w:color w:val="000000"/>
                <w:sz w:val="24"/>
              </w:rPr>
            </w:pPr>
            <w:r>
              <w:rPr>
                <w:rFonts w:ascii="宋体" w:hAnsi="宋体"/>
                <w:b/>
                <w:color w:val="000000"/>
                <w:sz w:val="24"/>
              </w:rPr>
              <w:drawing>
                <wp:anchor distT="0" distB="0" distL="114300" distR="114300" simplePos="0" relativeHeight="251659264" behindDoc="0" locked="0" layoutInCell="1" allowOverlap="1">
                  <wp:simplePos x="0" y="0"/>
                  <wp:positionH relativeFrom="column">
                    <wp:posOffset>3810</wp:posOffset>
                  </wp:positionH>
                  <wp:positionV relativeFrom="page">
                    <wp:posOffset>-17145</wp:posOffset>
                  </wp:positionV>
                  <wp:extent cx="1123950" cy="163830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123950" cy="1638300"/>
                          </a:xfrm>
                          <a:prstGeom prst="rect">
                            <a:avLst/>
                          </a:prstGeom>
                          <a:noFill/>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620" w:type="dxa"/>
            <w:tcBorders>
              <w:top w:val="single" w:color="000000"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出生日期</w:t>
            </w:r>
          </w:p>
        </w:tc>
        <w:tc>
          <w:tcPr>
            <w:tcW w:w="2104"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1</w:t>
            </w:r>
            <w:r>
              <w:rPr>
                <w:rFonts w:ascii="宋体" w:hAnsi="宋体"/>
                <w:b/>
                <w:color w:val="000000"/>
                <w:sz w:val="24"/>
              </w:rPr>
              <w:t>979.10.17</w:t>
            </w:r>
          </w:p>
        </w:tc>
        <w:tc>
          <w:tcPr>
            <w:tcW w:w="1276"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民    族</w:t>
            </w:r>
          </w:p>
        </w:tc>
        <w:tc>
          <w:tcPr>
            <w:tcW w:w="2016" w:type="dxa"/>
            <w:tcBorders>
              <w:top w:val="single" w:color="000000"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汉</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620" w:type="dxa"/>
            <w:tcBorders>
              <w:top w:val="single" w:color="000000" w:sz="4" w:space="0"/>
              <w:bottom w:val="single" w:color="auto"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政治面貌</w:t>
            </w:r>
          </w:p>
        </w:tc>
        <w:tc>
          <w:tcPr>
            <w:tcW w:w="2104"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中共党员</w:t>
            </w:r>
          </w:p>
        </w:tc>
        <w:tc>
          <w:tcPr>
            <w:tcW w:w="1276"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学    历</w:t>
            </w:r>
          </w:p>
        </w:tc>
        <w:tc>
          <w:tcPr>
            <w:tcW w:w="2016" w:type="dxa"/>
            <w:tcBorders>
              <w:top w:val="single" w:color="000000" w:sz="4" w:space="0"/>
              <w:left w:val="single" w:color="000000" w:sz="4" w:space="0"/>
              <w:bottom w:val="single" w:color="auto" w:sz="4" w:space="0"/>
            </w:tcBorders>
            <w:vAlign w:val="center"/>
          </w:tcPr>
          <w:p>
            <w:pPr>
              <w:snapToGrid w:val="0"/>
              <w:jc w:val="center"/>
              <w:rPr>
                <w:rFonts w:ascii="宋体" w:hAnsi="宋体"/>
                <w:b/>
                <w:color w:val="000000"/>
                <w:sz w:val="24"/>
              </w:rPr>
            </w:pPr>
            <w:r>
              <w:rPr>
                <w:rFonts w:hint="eastAsia" w:ascii="宋体" w:hAnsi="宋体"/>
                <w:b/>
                <w:color w:val="000000"/>
                <w:sz w:val="24"/>
              </w:rPr>
              <w:t>研究生</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trPr>
        <w:tc>
          <w:tcPr>
            <w:tcW w:w="1620" w:type="dxa"/>
            <w:tcBorders>
              <w:top w:val="single" w:color="auto" w:sz="4" w:space="0"/>
              <w:bottom w:val="single" w:color="000000" w:sz="4" w:space="0"/>
              <w:right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技术职称</w:t>
            </w:r>
          </w:p>
        </w:tc>
        <w:tc>
          <w:tcPr>
            <w:tcW w:w="2104" w:type="dxa"/>
            <w:tcBorders>
              <w:top w:val="single" w:color="auto"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教授</w:t>
            </w:r>
          </w:p>
        </w:tc>
        <w:tc>
          <w:tcPr>
            <w:tcW w:w="1276" w:type="dxa"/>
            <w:tcBorders>
              <w:top w:val="single" w:color="auto"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行政职务</w:t>
            </w:r>
          </w:p>
        </w:tc>
        <w:tc>
          <w:tcPr>
            <w:tcW w:w="2016" w:type="dxa"/>
            <w:tcBorders>
              <w:top w:val="single" w:color="auto" w:sz="4" w:space="0"/>
              <w:left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《现代法学》</w:t>
            </w:r>
          </w:p>
          <w:p>
            <w:pPr>
              <w:snapToGrid w:val="0"/>
              <w:jc w:val="center"/>
              <w:rPr>
                <w:rFonts w:ascii="宋体" w:hAnsi="宋体"/>
                <w:b/>
                <w:color w:val="000000"/>
                <w:sz w:val="24"/>
              </w:rPr>
            </w:pPr>
            <w:r>
              <w:rPr>
                <w:rFonts w:hint="eastAsia" w:ascii="宋体" w:hAnsi="宋体"/>
                <w:b/>
                <w:color w:val="000000"/>
                <w:sz w:val="24"/>
              </w:rPr>
              <w:t>常务副主编</w:t>
            </w:r>
          </w:p>
        </w:tc>
        <w:tc>
          <w:tcPr>
            <w:tcW w:w="1984" w:type="dxa"/>
            <w:vMerge w:val="continue"/>
            <w:tcBorders>
              <w:left w:val="single" w:color="000000" w:sz="4" w:space="0"/>
            </w:tcBorders>
            <w:vAlign w:val="center"/>
          </w:tcPr>
          <w:p>
            <w:pPr>
              <w:snapToGrid w:val="0"/>
              <w:jc w:val="center"/>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工作单位</w:t>
            </w:r>
          </w:p>
        </w:tc>
        <w:tc>
          <w:tcPr>
            <w:tcW w:w="5396" w:type="dxa"/>
            <w:gridSpan w:val="3"/>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西南政法大学</w:t>
            </w:r>
          </w:p>
        </w:tc>
        <w:tc>
          <w:tcPr>
            <w:tcW w:w="1984" w:type="dxa"/>
            <w:vMerge w:val="continue"/>
            <w:tcBorders>
              <w:left w:val="single" w:color="000000" w:sz="4" w:space="0"/>
            </w:tcBorders>
            <w:vAlign w:val="center"/>
          </w:tcPr>
          <w:p>
            <w:pPr>
              <w:snapToGrid w:val="0"/>
              <w:jc w:val="left"/>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通讯地址</w:t>
            </w:r>
          </w:p>
        </w:tc>
        <w:tc>
          <w:tcPr>
            <w:tcW w:w="7380" w:type="dxa"/>
            <w:gridSpan w:val="4"/>
            <w:tcBorders>
              <w:top w:val="single" w:color="000000" w:sz="4" w:space="0"/>
              <w:bottom w:val="single" w:color="000000" w:sz="4" w:space="0"/>
            </w:tcBorders>
            <w:vAlign w:val="center"/>
          </w:tcPr>
          <w:p>
            <w:pPr>
              <w:snapToGrid w:val="0"/>
              <w:jc w:val="center"/>
              <w:rPr>
                <w:rFonts w:ascii="宋体" w:hAnsi="宋体"/>
                <w:b/>
                <w:color w:val="000000"/>
                <w:sz w:val="24"/>
              </w:rPr>
            </w:pPr>
            <w:r>
              <w:rPr>
                <w:rFonts w:hint="eastAsia" w:ascii="宋体" w:hAnsi="宋体"/>
                <w:b/>
                <w:color w:val="000000"/>
                <w:sz w:val="24"/>
              </w:rPr>
              <w:t>重庆市渝北区宝圣大道301号西南政法大学法学院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1"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rFonts w:ascii="宋体" w:hAnsi="宋体"/>
                <w:b/>
                <w:color w:val="000000"/>
                <w:sz w:val="30"/>
                <w:szCs w:val="30"/>
              </w:rPr>
            </w:pPr>
            <w:r>
              <w:rPr>
                <w:rFonts w:hint="eastAsia" w:ascii="宋体" w:hAnsi="宋体"/>
                <w:b/>
                <w:color w:val="000000"/>
                <w:sz w:val="30"/>
                <w:szCs w:val="30"/>
              </w:rPr>
              <w:t>重要学术成果</w:t>
            </w:r>
          </w:p>
          <w:p>
            <w:pPr>
              <w:tabs>
                <w:tab w:val="left" w:pos="4185"/>
              </w:tabs>
              <w:snapToGrid w:val="0"/>
              <w:jc w:val="left"/>
              <w:rPr>
                <w:rFonts w:ascii="楷体_GB2312" w:hAnsi="楷体" w:eastAsia="楷体_GB2312"/>
                <w:b/>
                <w:color w:val="000000"/>
                <w:sz w:val="24"/>
              </w:rPr>
            </w:pPr>
            <w:r>
              <w:rPr>
                <w:rFonts w:hint="eastAsia" w:ascii="楷体_GB2312" w:hAnsi="楷体" w:eastAsia="楷体_GB2312"/>
                <w:b/>
                <w:color w:val="000000"/>
                <w:sz w:val="24"/>
              </w:rPr>
              <w:t>（包括专著和论文，只列书名和篇名即可。论文仅限于发表在核心期刊或全国性重要报纸上的。请注明署名方式、发表或出版时间、刊物或出版社、字数。代表性著作和论文请注明中国知网统计的被引用数。）</w:t>
            </w:r>
          </w:p>
          <w:p>
            <w:pPr>
              <w:tabs>
                <w:tab w:val="left" w:pos="4185"/>
              </w:tabs>
              <w:adjustRightInd w:val="0"/>
              <w:snapToGrid w:val="0"/>
              <w:spacing w:before="156" w:beforeLines="50" w:after="156" w:afterLines="50"/>
              <w:ind w:firstLine="562" w:firstLineChars="200"/>
              <w:jc w:val="left"/>
              <w:rPr>
                <w:rFonts w:ascii="楷体_GB2312" w:hAnsi="楷体" w:eastAsia="楷体_GB2312"/>
                <w:b/>
                <w:color w:val="000000"/>
                <w:sz w:val="28"/>
              </w:rPr>
            </w:pPr>
            <w:r>
              <w:rPr>
                <w:rFonts w:hint="eastAsia" w:ascii="楷体_GB2312" w:hAnsi="楷体" w:eastAsia="楷体_GB2312"/>
                <w:b/>
                <w:color w:val="000000"/>
                <w:sz w:val="28"/>
              </w:rPr>
              <w:t>（一）代表性论文和专著</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402"/>
              <w:gridCol w:w="1559"/>
              <w:gridCol w:w="1276"/>
              <w:gridCol w:w="850"/>
              <w:gridCol w:w="993"/>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2" w:type="dxa"/>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序号</w:t>
                  </w:r>
                </w:p>
              </w:tc>
              <w:tc>
                <w:tcPr>
                  <w:tcW w:w="2402" w:type="dxa"/>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论文/</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专著名称</w:t>
                  </w:r>
                </w:p>
              </w:tc>
              <w:tc>
                <w:tcPr>
                  <w:tcW w:w="1559" w:type="dxa"/>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刊物/</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出版社</w:t>
                  </w:r>
                </w:p>
              </w:tc>
              <w:tc>
                <w:tcPr>
                  <w:tcW w:w="1276" w:type="dxa"/>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发表/</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出版时间</w:t>
                  </w:r>
                </w:p>
              </w:tc>
              <w:tc>
                <w:tcPr>
                  <w:tcW w:w="850" w:type="dxa"/>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署名</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方式</w:t>
                  </w:r>
                </w:p>
              </w:tc>
              <w:tc>
                <w:tcPr>
                  <w:tcW w:w="993" w:type="dxa"/>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字数</w:t>
                  </w:r>
                </w:p>
              </w:tc>
              <w:tc>
                <w:tcPr>
                  <w:tcW w:w="907" w:type="dxa"/>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被引</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82"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w:t>
                  </w:r>
                </w:p>
              </w:tc>
              <w:tc>
                <w:tcPr>
                  <w:tcW w:w="2402"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我国民事庭审阶段化构造再认识</w:t>
                  </w:r>
                </w:p>
              </w:tc>
              <w:tc>
                <w:tcPr>
                  <w:tcW w:w="1559"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《中国法学》</w:t>
                  </w:r>
                </w:p>
              </w:tc>
              <w:tc>
                <w:tcPr>
                  <w:tcW w:w="1276"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2015年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第2期</w:t>
                  </w:r>
                </w:p>
              </w:tc>
              <w:tc>
                <w:tcPr>
                  <w:tcW w:w="850"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3.3万</w:t>
                  </w:r>
                </w:p>
              </w:tc>
              <w:tc>
                <w:tcPr>
                  <w:tcW w:w="907"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82"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p>
              </w:tc>
              <w:tc>
                <w:tcPr>
                  <w:tcW w:w="2402"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起诉条件前置审理论</w:t>
                  </w:r>
                </w:p>
              </w:tc>
              <w:tc>
                <w:tcPr>
                  <w:tcW w:w="1559"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《法学研究》</w:t>
                  </w:r>
                </w:p>
              </w:tc>
              <w:tc>
                <w:tcPr>
                  <w:tcW w:w="1276"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2016年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第6期</w:t>
                  </w:r>
                </w:p>
              </w:tc>
              <w:tc>
                <w:tcPr>
                  <w:tcW w:w="850"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r>
                    <w:rPr>
                      <w:rFonts w:ascii="楷体_GB2312" w:hAnsi="楷体" w:eastAsia="楷体_GB2312"/>
                      <w:color w:val="000000"/>
                      <w:sz w:val="24"/>
                    </w:rPr>
                    <w:t>.3</w:t>
                  </w:r>
                  <w:r>
                    <w:rPr>
                      <w:rFonts w:hint="eastAsia" w:ascii="楷体_GB2312" w:hAnsi="楷体" w:eastAsia="楷体_GB2312"/>
                      <w:color w:val="000000"/>
                      <w:sz w:val="24"/>
                    </w:rPr>
                    <w:t>万</w:t>
                  </w:r>
                </w:p>
              </w:tc>
              <w:tc>
                <w:tcPr>
                  <w:tcW w:w="907"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7</w:t>
                  </w:r>
                  <w:r>
                    <w:rPr>
                      <w:rFonts w:ascii="楷体_GB2312" w:hAnsi="楷体" w:eastAsia="楷体_GB2312"/>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82"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w:t>
                  </w:r>
                </w:p>
              </w:tc>
              <w:tc>
                <w:tcPr>
                  <w:tcW w:w="2402"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民事二审不开庭审理的反思与修正</w:t>
                  </w:r>
                </w:p>
              </w:tc>
              <w:tc>
                <w:tcPr>
                  <w:tcW w:w="1559"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《中国法学》</w:t>
                  </w:r>
                </w:p>
              </w:tc>
              <w:tc>
                <w:tcPr>
                  <w:tcW w:w="1276"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2021年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第6期</w:t>
                  </w:r>
                </w:p>
              </w:tc>
              <w:tc>
                <w:tcPr>
                  <w:tcW w:w="850"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r>
                    <w:rPr>
                      <w:rFonts w:ascii="楷体_GB2312" w:hAnsi="楷体" w:eastAsia="楷体_GB2312"/>
                      <w:color w:val="000000"/>
                      <w:sz w:val="24"/>
                    </w:rPr>
                    <w:t>.1</w:t>
                  </w:r>
                  <w:r>
                    <w:rPr>
                      <w:rFonts w:hint="eastAsia" w:ascii="楷体_GB2312" w:hAnsi="楷体" w:eastAsia="楷体_GB2312"/>
                      <w:color w:val="000000"/>
                      <w:sz w:val="24"/>
                    </w:rPr>
                    <w:t>万</w:t>
                  </w:r>
                </w:p>
              </w:tc>
              <w:tc>
                <w:tcPr>
                  <w:tcW w:w="907"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82"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w:t>
                  </w:r>
                </w:p>
              </w:tc>
              <w:tc>
                <w:tcPr>
                  <w:tcW w:w="2402"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我国民事自认的非约束性及其修正</w:t>
                  </w:r>
                </w:p>
              </w:tc>
              <w:tc>
                <w:tcPr>
                  <w:tcW w:w="1559"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《法学研究》</w:t>
                  </w:r>
                </w:p>
              </w:tc>
              <w:tc>
                <w:tcPr>
                  <w:tcW w:w="1276"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2020年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第1期</w:t>
                  </w:r>
                </w:p>
              </w:tc>
              <w:tc>
                <w:tcPr>
                  <w:tcW w:w="850"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r>
                    <w:rPr>
                      <w:rFonts w:ascii="楷体_GB2312" w:hAnsi="楷体" w:eastAsia="楷体_GB2312"/>
                      <w:color w:val="000000"/>
                      <w:sz w:val="24"/>
                    </w:rPr>
                    <w:t>.0</w:t>
                  </w:r>
                  <w:r>
                    <w:rPr>
                      <w:rFonts w:hint="eastAsia" w:ascii="楷体_GB2312" w:hAnsi="楷体" w:eastAsia="楷体_GB2312"/>
                      <w:color w:val="000000"/>
                      <w:sz w:val="24"/>
                    </w:rPr>
                    <w:t>万</w:t>
                  </w:r>
                </w:p>
              </w:tc>
              <w:tc>
                <w:tcPr>
                  <w:tcW w:w="907"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6</w:t>
                  </w:r>
                  <w:r>
                    <w:rPr>
                      <w:rFonts w:ascii="楷体_GB2312" w:hAnsi="楷体" w:eastAsia="楷体_GB2312"/>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82"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5</w:t>
                  </w:r>
                </w:p>
              </w:tc>
              <w:tc>
                <w:tcPr>
                  <w:tcW w:w="2402"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我国民事管辖审查程序的反思与修正</w:t>
                  </w:r>
                </w:p>
              </w:tc>
              <w:tc>
                <w:tcPr>
                  <w:tcW w:w="1559"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《中国法学》</w:t>
                  </w:r>
                </w:p>
              </w:tc>
              <w:tc>
                <w:tcPr>
                  <w:tcW w:w="1276"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2019年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第4期</w:t>
                  </w:r>
                </w:p>
              </w:tc>
              <w:tc>
                <w:tcPr>
                  <w:tcW w:w="850"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vAlign w:val="center"/>
                </w:tcPr>
                <w:p>
                  <w:pPr>
                    <w:tabs>
                      <w:tab w:val="left" w:pos="4185"/>
                    </w:tabs>
                    <w:snapToGrid w:val="0"/>
                    <w:jc w:val="center"/>
                    <w:rPr>
                      <w:rFonts w:ascii="楷体_GB2312" w:hAnsi="楷体" w:eastAsia="楷体_GB2312"/>
                      <w:color w:val="000000"/>
                      <w:sz w:val="24"/>
                    </w:rPr>
                  </w:pPr>
                  <w:r>
                    <w:rPr>
                      <w:rFonts w:ascii="楷体_GB2312" w:hAnsi="楷体" w:eastAsia="楷体_GB2312"/>
                      <w:color w:val="000000"/>
                      <w:sz w:val="24"/>
                    </w:rPr>
                    <w:t>2.1</w:t>
                  </w:r>
                  <w:r>
                    <w:rPr>
                      <w:rFonts w:hint="eastAsia" w:ascii="楷体_GB2312" w:hAnsi="楷体" w:eastAsia="楷体_GB2312"/>
                      <w:color w:val="000000"/>
                      <w:sz w:val="24"/>
                    </w:rPr>
                    <w:t>万</w:t>
                  </w:r>
                </w:p>
              </w:tc>
              <w:tc>
                <w:tcPr>
                  <w:tcW w:w="907"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w:t>
                  </w:r>
                  <w:r>
                    <w:rPr>
                      <w:rFonts w:ascii="楷体_GB2312" w:hAnsi="楷体" w:eastAsia="楷体_GB2312"/>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82" w:type="dxa"/>
                  <w:vAlign w:val="center"/>
                </w:tcPr>
                <w:p>
                  <w:pPr>
                    <w:tabs>
                      <w:tab w:val="left" w:pos="4185"/>
                    </w:tabs>
                    <w:snapToGrid w:val="0"/>
                    <w:jc w:val="center"/>
                    <w:rPr>
                      <w:rFonts w:ascii="楷体_GB2312" w:hAnsi="楷体" w:eastAsia="楷体_GB2312"/>
                      <w:color w:val="000000"/>
                      <w:sz w:val="24"/>
                    </w:rPr>
                  </w:pPr>
                  <w:r>
                    <w:rPr>
                      <w:rFonts w:ascii="楷体_GB2312" w:hAnsi="楷体" w:eastAsia="楷体_GB2312"/>
                      <w:color w:val="000000"/>
                      <w:sz w:val="24"/>
                    </w:rPr>
                    <w:t>6</w:t>
                  </w:r>
                </w:p>
              </w:tc>
              <w:tc>
                <w:tcPr>
                  <w:tcW w:w="2402"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庭审中心视域下的民事审前准备程序研究</w:t>
                  </w:r>
                </w:p>
              </w:tc>
              <w:tc>
                <w:tcPr>
                  <w:tcW w:w="1559"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《中国法学》</w:t>
                  </w:r>
                </w:p>
              </w:tc>
              <w:tc>
                <w:tcPr>
                  <w:tcW w:w="1276"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2017年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第6期</w:t>
                  </w:r>
                </w:p>
              </w:tc>
              <w:tc>
                <w:tcPr>
                  <w:tcW w:w="850"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2.1万</w:t>
                  </w:r>
                </w:p>
              </w:tc>
              <w:tc>
                <w:tcPr>
                  <w:tcW w:w="907"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782" w:type="dxa"/>
                  <w:vAlign w:val="center"/>
                </w:tcPr>
                <w:p>
                  <w:pPr>
                    <w:tabs>
                      <w:tab w:val="left" w:pos="4185"/>
                    </w:tabs>
                    <w:snapToGrid w:val="0"/>
                    <w:jc w:val="center"/>
                    <w:rPr>
                      <w:rFonts w:ascii="楷体_GB2312" w:hAnsi="楷体" w:eastAsia="楷体_GB2312"/>
                      <w:color w:val="000000"/>
                      <w:sz w:val="24"/>
                    </w:rPr>
                  </w:pPr>
                  <w:r>
                    <w:rPr>
                      <w:rFonts w:ascii="楷体_GB2312" w:hAnsi="楷体" w:eastAsia="楷体_GB2312"/>
                      <w:color w:val="000000"/>
                      <w:sz w:val="24"/>
                    </w:rPr>
                    <w:t>7</w:t>
                  </w:r>
                </w:p>
              </w:tc>
              <w:tc>
                <w:tcPr>
                  <w:tcW w:w="2402"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一体化与集中化:口头审理方式的现状与未来</w:t>
                  </w:r>
                </w:p>
              </w:tc>
              <w:tc>
                <w:tcPr>
                  <w:tcW w:w="1559"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《中国法学》</w:t>
                  </w:r>
                </w:p>
              </w:tc>
              <w:tc>
                <w:tcPr>
                  <w:tcW w:w="1276"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2012年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第6期</w:t>
                  </w:r>
                </w:p>
              </w:tc>
              <w:tc>
                <w:tcPr>
                  <w:tcW w:w="850"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2.3万</w:t>
                  </w:r>
                </w:p>
              </w:tc>
              <w:tc>
                <w:tcPr>
                  <w:tcW w:w="907"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82" w:type="dxa"/>
                  <w:vAlign w:val="center"/>
                </w:tcPr>
                <w:p>
                  <w:pPr>
                    <w:tabs>
                      <w:tab w:val="left" w:pos="4185"/>
                    </w:tabs>
                    <w:snapToGrid w:val="0"/>
                    <w:jc w:val="center"/>
                    <w:rPr>
                      <w:rFonts w:ascii="楷体_GB2312" w:hAnsi="楷体" w:eastAsia="楷体_GB2312"/>
                      <w:color w:val="000000"/>
                      <w:sz w:val="24"/>
                    </w:rPr>
                  </w:pPr>
                  <w:r>
                    <w:rPr>
                      <w:rFonts w:ascii="楷体_GB2312" w:hAnsi="楷体" w:eastAsia="楷体_GB2312"/>
                      <w:color w:val="000000"/>
                      <w:sz w:val="24"/>
                    </w:rPr>
                    <w:t>8</w:t>
                  </w:r>
                </w:p>
              </w:tc>
              <w:tc>
                <w:tcPr>
                  <w:tcW w:w="2402"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规范出发型民事判决构造论</w:t>
                  </w:r>
                </w:p>
              </w:tc>
              <w:tc>
                <w:tcPr>
                  <w:tcW w:w="1559"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法律出版社</w:t>
                  </w:r>
                </w:p>
              </w:tc>
              <w:tc>
                <w:tcPr>
                  <w:tcW w:w="1276"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2012年</w:t>
                  </w:r>
                </w:p>
              </w:tc>
              <w:tc>
                <w:tcPr>
                  <w:tcW w:w="850"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20万</w:t>
                  </w:r>
                </w:p>
              </w:tc>
              <w:tc>
                <w:tcPr>
                  <w:tcW w:w="907" w:type="dxa"/>
                  <w:vAlign w:val="center"/>
                </w:tcPr>
                <w:p>
                  <w:pPr>
                    <w:tabs>
                      <w:tab w:val="left" w:pos="4185"/>
                    </w:tabs>
                    <w:snapToGrid w:val="0"/>
                    <w:jc w:val="center"/>
                    <w:rPr>
                      <w:rFonts w:ascii="楷体_GB2312" w:hAnsi="楷体" w:eastAsia="楷体_GB2312"/>
                      <w:color w:val="000000"/>
                      <w:sz w:val="24"/>
                    </w:rPr>
                  </w:pPr>
                  <w:r>
                    <w:rPr>
                      <w:rFonts w:ascii="楷体_GB2312" w:hAnsi="楷体" w:eastAsia="楷体_GB2312"/>
                      <w:color w:val="000000"/>
                      <w:sz w:val="24"/>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82" w:type="dxa"/>
                  <w:vAlign w:val="center"/>
                </w:tcPr>
                <w:p>
                  <w:pPr>
                    <w:tabs>
                      <w:tab w:val="left" w:pos="4185"/>
                    </w:tabs>
                    <w:snapToGrid w:val="0"/>
                    <w:jc w:val="center"/>
                    <w:rPr>
                      <w:rFonts w:ascii="楷体_GB2312" w:hAnsi="楷体" w:eastAsia="楷体_GB2312"/>
                      <w:color w:val="000000"/>
                      <w:sz w:val="24"/>
                    </w:rPr>
                  </w:pPr>
                  <w:r>
                    <w:rPr>
                      <w:rFonts w:ascii="楷体_GB2312" w:hAnsi="楷体" w:eastAsia="楷体_GB2312"/>
                      <w:color w:val="000000"/>
                      <w:sz w:val="24"/>
                    </w:rPr>
                    <w:t>9</w:t>
                  </w:r>
                </w:p>
              </w:tc>
              <w:tc>
                <w:tcPr>
                  <w:tcW w:w="2402"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民事程序构造论</w:t>
                  </w:r>
                </w:p>
              </w:tc>
              <w:tc>
                <w:tcPr>
                  <w:tcW w:w="1559"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法律出版社</w:t>
                  </w:r>
                </w:p>
              </w:tc>
              <w:tc>
                <w:tcPr>
                  <w:tcW w:w="1276"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r>
                    <w:rPr>
                      <w:rFonts w:ascii="楷体_GB2312" w:hAnsi="楷体" w:eastAsia="楷体_GB2312"/>
                      <w:color w:val="000000"/>
                      <w:sz w:val="24"/>
                    </w:rPr>
                    <w:t>020</w:t>
                  </w:r>
                  <w:r>
                    <w:rPr>
                      <w:rFonts w:hint="eastAsia" w:ascii="楷体_GB2312" w:hAnsi="楷体" w:eastAsia="楷体_GB2312"/>
                      <w:color w:val="000000"/>
                      <w:sz w:val="24"/>
                    </w:rPr>
                    <w:t>年</w:t>
                  </w:r>
                </w:p>
              </w:tc>
              <w:tc>
                <w:tcPr>
                  <w:tcW w:w="850"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r>
                    <w:rPr>
                      <w:rFonts w:ascii="楷体_GB2312" w:hAnsi="楷体" w:eastAsia="楷体_GB2312"/>
                      <w:color w:val="000000"/>
                      <w:sz w:val="24"/>
                    </w:rPr>
                    <w:t>7</w:t>
                  </w:r>
                  <w:r>
                    <w:rPr>
                      <w:rFonts w:hint="eastAsia" w:ascii="楷体_GB2312" w:hAnsi="楷体" w:eastAsia="楷体_GB2312"/>
                      <w:color w:val="000000"/>
                      <w:sz w:val="24"/>
                    </w:rPr>
                    <w:t>万</w:t>
                  </w:r>
                </w:p>
              </w:tc>
              <w:tc>
                <w:tcPr>
                  <w:tcW w:w="907" w:type="dxa"/>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p>
              </w:tc>
            </w:tr>
          </w:tbl>
          <w:p>
            <w:pPr>
              <w:tabs>
                <w:tab w:val="left" w:pos="4185"/>
              </w:tabs>
              <w:snapToGrid w:val="0"/>
              <w:jc w:val="center"/>
              <w:rPr>
                <w:rFonts w:ascii="楷体_GB2312" w:hAnsi="楷体" w:eastAsia="楷体_GB2312"/>
                <w:b/>
                <w:color w:val="000000"/>
                <w:sz w:val="24"/>
              </w:rPr>
            </w:pPr>
          </w:p>
          <w:p>
            <w:pPr>
              <w:tabs>
                <w:tab w:val="left" w:pos="4185"/>
              </w:tabs>
              <w:snapToGrid w:val="0"/>
              <w:spacing w:after="156" w:afterLines="50"/>
              <w:ind w:firstLine="562" w:firstLineChars="200"/>
              <w:jc w:val="left"/>
              <w:rPr>
                <w:rFonts w:ascii="楷体_GB2312" w:hAnsi="楷体" w:eastAsia="楷体_GB2312"/>
                <w:b/>
                <w:color w:val="000000"/>
                <w:sz w:val="28"/>
              </w:rPr>
            </w:pPr>
            <w:r>
              <w:rPr>
                <w:rFonts w:hint="eastAsia" w:ascii="楷体_GB2312" w:hAnsi="楷体" w:eastAsia="楷体_GB2312"/>
                <w:b/>
                <w:color w:val="000000"/>
                <w:sz w:val="28"/>
              </w:rPr>
              <w:t>（二）其他核心论文</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62"/>
              <w:gridCol w:w="2410"/>
              <w:gridCol w:w="221"/>
              <w:gridCol w:w="1338"/>
              <w:gridCol w:w="222"/>
              <w:gridCol w:w="1054"/>
              <w:gridCol w:w="221"/>
              <w:gridCol w:w="629"/>
              <w:gridCol w:w="222"/>
              <w:gridCol w:w="771"/>
              <w:gridCol w:w="79"/>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gridSpan w:val="2"/>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序号</w:t>
                  </w:r>
                </w:p>
              </w:tc>
              <w:tc>
                <w:tcPr>
                  <w:tcW w:w="2410"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论文名称</w:t>
                  </w:r>
                </w:p>
              </w:tc>
              <w:tc>
                <w:tcPr>
                  <w:tcW w:w="1559" w:type="dxa"/>
                  <w:gridSpan w:val="2"/>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刊物</w:t>
                  </w:r>
                </w:p>
              </w:tc>
              <w:tc>
                <w:tcPr>
                  <w:tcW w:w="1276" w:type="dxa"/>
                  <w:gridSpan w:val="2"/>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发表时间</w:t>
                  </w:r>
                </w:p>
              </w:tc>
              <w:tc>
                <w:tcPr>
                  <w:tcW w:w="850" w:type="dxa"/>
                  <w:gridSpan w:val="2"/>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署名方式</w:t>
                  </w:r>
                </w:p>
              </w:tc>
              <w:tc>
                <w:tcPr>
                  <w:tcW w:w="993" w:type="dxa"/>
                  <w:gridSpan w:val="2"/>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字数</w:t>
                  </w:r>
                </w:p>
              </w:tc>
              <w:tc>
                <w:tcPr>
                  <w:tcW w:w="905" w:type="dxa"/>
                  <w:gridSpan w:val="2"/>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被引</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w:t>
                  </w:r>
                </w:p>
              </w:tc>
              <w:tc>
                <w:tcPr>
                  <w:tcW w:w="2410" w:type="dxa"/>
                  <w:shd w:val="clear" w:color="auto" w:fill="auto"/>
                  <w:vAlign w:val="center"/>
                </w:tcPr>
                <w:p>
                  <w:pPr>
                    <w:tabs>
                      <w:tab w:val="left" w:pos="4185"/>
                    </w:tabs>
                    <w:snapToGrid w:val="0"/>
                    <w:jc w:val="center"/>
                    <w:rPr>
                      <w:rFonts w:ascii="楷体_GB2312" w:hAnsi="楷体" w:eastAsia="楷体_GB2312"/>
                      <w:b/>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起诉程序的理论基础与制度前景</w:t>
                  </w:r>
                </w:p>
              </w:tc>
              <w:tc>
                <w:tcPr>
                  <w:tcW w:w="1559" w:type="dxa"/>
                  <w:gridSpan w:val="2"/>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《中外法学》</w:t>
                  </w:r>
                </w:p>
              </w:tc>
              <w:tc>
                <w:tcPr>
                  <w:tcW w:w="1276" w:type="dxa"/>
                  <w:gridSpan w:val="2"/>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2015年</w:t>
                  </w:r>
                </w:p>
                <w:p>
                  <w:pPr>
                    <w:tabs>
                      <w:tab w:val="left" w:pos="4185"/>
                    </w:tabs>
                    <w:snapToGrid w:val="0"/>
                    <w:jc w:val="center"/>
                    <w:rPr>
                      <w:rFonts w:ascii="楷体_GB2312" w:hAnsi="楷体" w:eastAsia="楷体_GB2312"/>
                      <w:b/>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第4期</w:t>
                  </w:r>
                </w:p>
              </w:tc>
              <w:tc>
                <w:tcPr>
                  <w:tcW w:w="850" w:type="dxa"/>
                  <w:gridSpan w:val="2"/>
                  <w:shd w:val="clear" w:color="auto" w:fill="auto"/>
                  <w:vAlign w:val="center"/>
                </w:tcPr>
                <w:p>
                  <w:pPr>
                    <w:tabs>
                      <w:tab w:val="left" w:pos="4185"/>
                    </w:tabs>
                    <w:snapToGrid w:val="0"/>
                    <w:jc w:val="center"/>
                    <w:rPr>
                      <w:rFonts w:ascii="楷体_GB2312" w:hAnsi="楷体" w:eastAsia="楷体_GB2312"/>
                      <w:b/>
                      <w:color w:val="000000" w:themeColor="text1"/>
                      <w:sz w:val="24"/>
                      <w14:textFill>
                        <w14:solidFill>
                          <w14:schemeClr w14:val="tx1"/>
                        </w14:solidFill>
                      </w14:textFill>
                    </w:rPr>
                  </w:pPr>
                  <w:r>
                    <w:rPr>
                      <w:rFonts w:hint="eastAsia" w:ascii="楷体_GB2312" w:hAnsi="楷体" w:eastAsia="楷体_GB2312"/>
                      <w:color w:val="000000"/>
                      <w:sz w:val="24"/>
                    </w:rPr>
                    <w:t>独著</w:t>
                  </w:r>
                </w:p>
              </w:tc>
              <w:tc>
                <w:tcPr>
                  <w:tcW w:w="993" w:type="dxa"/>
                  <w:gridSpan w:val="2"/>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2</w:t>
                  </w:r>
                  <w:r>
                    <w:rPr>
                      <w:rFonts w:ascii="楷体_GB2312" w:hAnsi="楷体" w:eastAsia="楷体_GB2312"/>
                      <w:color w:val="000000" w:themeColor="text1"/>
                      <w:sz w:val="24"/>
                      <w14:textFill>
                        <w14:solidFill>
                          <w14:schemeClr w14:val="tx1"/>
                        </w14:solidFill>
                      </w14:textFill>
                    </w:rPr>
                    <w:t>.8</w:t>
                  </w:r>
                  <w:r>
                    <w:rPr>
                      <w:rFonts w:hint="eastAsia" w:ascii="楷体_GB2312" w:hAnsi="楷体" w:eastAsia="楷体_GB2312"/>
                      <w:color w:val="000000" w:themeColor="text1"/>
                      <w:sz w:val="24"/>
                      <w14:textFill>
                        <w14:solidFill>
                          <w14:schemeClr w14:val="tx1"/>
                        </w14:solidFill>
                      </w14:textFill>
                    </w:rPr>
                    <w:t>万</w:t>
                  </w:r>
                </w:p>
              </w:tc>
              <w:tc>
                <w:tcPr>
                  <w:tcW w:w="905" w:type="dxa"/>
                  <w:gridSpan w:val="2"/>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1</w:t>
                  </w:r>
                  <w:r>
                    <w:rPr>
                      <w:rFonts w:ascii="楷体_GB2312" w:hAnsi="楷体" w:eastAsia="楷体_GB2312"/>
                      <w:color w:val="000000" w:themeColor="text1"/>
                      <w:sz w:val="24"/>
                      <w14:textFill>
                        <w14:solidFill>
                          <w14:schemeClr w14:val="tx1"/>
                        </w14:solidFill>
                      </w14:textFill>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p>
              </w:tc>
              <w:tc>
                <w:tcPr>
                  <w:tcW w:w="2410" w:type="dxa"/>
                  <w:shd w:val="clear" w:color="auto" w:fill="auto"/>
                  <w:vAlign w:val="center"/>
                </w:tcPr>
                <w:p>
                  <w:pPr>
                    <w:tabs>
                      <w:tab w:val="left" w:pos="4185"/>
                    </w:tabs>
                    <w:snapToGrid w:val="0"/>
                    <w:jc w:val="center"/>
                    <w:rPr>
                      <w:rFonts w:ascii="楷体_GB2312" w:hAnsi="楷体" w:eastAsia="楷体_GB2312"/>
                      <w:b/>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类型化视角下诉讼请求合并的程序展开</w:t>
                  </w:r>
                </w:p>
              </w:tc>
              <w:tc>
                <w:tcPr>
                  <w:tcW w:w="1559" w:type="dxa"/>
                  <w:gridSpan w:val="2"/>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《中外法学》</w:t>
                  </w:r>
                </w:p>
              </w:tc>
              <w:tc>
                <w:tcPr>
                  <w:tcW w:w="1276" w:type="dxa"/>
                  <w:gridSpan w:val="2"/>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2022年</w:t>
                  </w:r>
                </w:p>
                <w:p>
                  <w:pPr>
                    <w:tabs>
                      <w:tab w:val="left" w:pos="4185"/>
                    </w:tabs>
                    <w:snapToGrid w:val="0"/>
                    <w:jc w:val="center"/>
                    <w:rPr>
                      <w:rFonts w:ascii="楷体_GB2312" w:hAnsi="楷体" w:eastAsia="楷体_GB2312"/>
                      <w:b/>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第3期</w:t>
                  </w:r>
                </w:p>
              </w:tc>
              <w:tc>
                <w:tcPr>
                  <w:tcW w:w="850" w:type="dxa"/>
                  <w:gridSpan w:val="2"/>
                  <w:shd w:val="clear" w:color="auto" w:fill="auto"/>
                  <w:vAlign w:val="center"/>
                </w:tcPr>
                <w:p>
                  <w:pPr>
                    <w:tabs>
                      <w:tab w:val="left" w:pos="4185"/>
                    </w:tabs>
                    <w:snapToGrid w:val="0"/>
                    <w:jc w:val="center"/>
                    <w:rPr>
                      <w:rFonts w:ascii="楷体_GB2312" w:hAnsi="楷体" w:eastAsia="楷体_GB2312"/>
                      <w:b/>
                      <w:color w:val="000000" w:themeColor="text1"/>
                      <w:sz w:val="24"/>
                      <w14:textFill>
                        <w14:solidFill>
                          <w14:schemeClr w14:val="tx1"/>
                        </w14:solidFill>
                      </w14:textFill>
                    </w:rPr>
                  </w:pPr>
                  <w:r>
                    <w:rPr>
                      <w:rFonts w:hint="eastAsia" w:ascii="楷体_GB2312" w:hAnsi="楷体" w:eastAsia="楷体_GB2312"/>
                      <w:color w:val="000000"/>
                      <w:sz w:val="24"/>
                    </w:rPr>
                    <w:t>独著</w:t>
                  </w:r>
                </w:p>
              </w:tc>
              <w:tc>
                <w:tcPr>
                  <w:tcW w:w="993" w:type="dxa"/>
                  <w:gridSpan w:val="2"/>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1</w:t>
                  </w:r>
                  <w:r>
                    <w:rPr>
                      <w:rFonts w:ascii="楷体_GB2312" w:hAnsi="楷体" w:eastAsia="楷体_GB2312"/>
                      <w:color w:val="000000" w:themeColor="text1"/>
                      <w:sz w:val="24"/>
                      <w14:textFill>
                        <w14:solidFill>
                          <w14:schemeClr w14:val="tx1"/>
                        </w14:solidFill>
                      </w14:textFill>
                    </w:rPr>
                    <w:t>.7</w:t>
                  </w:r>
                  <w:r>
                    <w:rPr>
                      <w:rFonts w:hint="eastAsia" w:ascii="楷体_GB2312" w:hAnsi="楷体" w:eastAsia="楷体_GB2312"/>
                      <w:color w:val="000000" w:themeColor="text1"/>
                      <w:sz w:val="24"/>
                      <w14:textFill>
                        <w14:solidFill>
                          <w14:schemeClr w14:val="tx1"/>
                        </w14:solidFill>
                      </w14:textFill>
                    </w:rPr>
                    <w:t>万</w:t>
                  </w:r>
                </w:p>
              </w:tc>
              <w:tc>
                <w:tcPr>
                  <w:tcW w:w="905" w:type="dxa"/>
                  <w:gridSpan w:val="2"/>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w:t>
                  </w:r>
                </w:p>
              </w:tc>
              <w:tc>
                <w:tcPr>
                  <w:tcW w:w="2410" w:type="dxa"/>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民事证明责任分配规范的法教义学新释</w:t>
                  </w:r>
                </w:p>
              </w:tc>
              <w:tc>
                <w:tcPr>
                  <w:tcW w:w="1559" w:type="dxa"/>
                  <w:gridSpan w:val="2"/>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《政法论坛》</w:t>
                  </w:r>
                </w:p>
              </w:tc>
              <w:tc>
                <w:tcPr>
                  <w:tcW w:w="1276" w:type="dxa"/>
                  <w:gridSpan w:val="2"/>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2020年</w:t>
                  </w:r>
                </w:p>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第3期</w:t>
                  </w:r>
                </w:p>
              </w:tc>
              <w:tc>
                <w:tcPr>
                  <w:tcW w:w="850" w:type="dxa"/>
                  <w:gridSpan w:val="2"/>
                  <w:shd w:val="clear" w:color="auto" w:fill="auto"/>
                  <w:vAlign w:val="center"/>
                </w:tcPr>
                <w:p>
                  <w:pPr>
                    <w:tabs>
                      <w:tab w:val="left" w:pos="4185"/>
                    </w:tabs>
                    <w:snapToGrid w:val="0"/>
                    <w:jc w:val="center"/>
                    <w:rPr>
                      <w:rFonts w:ascii="楷体_GB2312" w:hAnsi="楷体" w:eastAsia="楷体_GB2312"/>
                      <w:b/>
                      <w:color w:val="000000" w:themeColor="text1"/>
                      <w:sz w:val="24"/>
                      <w14:textFill>
                        <w14:solidFill>
                          <w14:schemeClr w14:val="tx1"/>
                        </w14:solidFill>
                      </w14:textFill>
                    </w:rPr>
                  </w:pPr>
                  <w:r>
                    <w:rPr>
                      <w:rFonts w:hint="eastAsia" w:ascii="楷体_GB2312" w:hAnsi="楷体" w:eastAsia="楷体_GB2312"/>
                      <w:color w:val="000000"/>
                      <w:sz w:val="24"/>
                    </w:rPr>
                    <w:t>独著</w:t>
                  </w:r>
                </w:p>
              </w:tc>
              <w:tc>
                <w:tcPr>
                  <w:tcW w:w="993" w:type="dxa"/>
                  <w:gridSpan w:val="2"/>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1</w:t>
                  </w:r>
                  <w:r>
                    <w:rPr>
                      <w:rFonts w:ascii="楷体_GB2312" w:hAnsi="楷体" w:eastAsia="楷体_GB2312"/>
                      <w:color w:val="000000" w:themeColor="text1"/>
                      <w:sz w:val="24"/>
                      <w14:textFill>
                        <w14:solidFill>
                          <w14:schemeClr w14:val="tx1"/>
                        </w14:solidFill>
                      </w14:textFill>
                    </w:rPr>
                    <w:t>.6</w:t>
                  </w:r>
                  <w:r>
                    <w:rPr>
                      <w:rFonts w:hint="eastAsia" w:ascii="楷体_GB2312" w:hAnsi="楷体" w:eastAsia="楷体_GB2312"/>
                      <w:color w:val="000000" w:themeColor="text1"/>
                      <w:sz w:val="24"/>
                      <w14:textFill>
                        <w14:solidFill>
                          <w14:schemeClr w14:val="tx1"/>
                        </w14:solidFill>
                      </w14:textFill>
                    </w:rPr>
                    <w:t>万</w:t>
                  </w:r>
                </w:p>
              </w:tc>
              <w:tc>
                <w:tcPr>
                  <w:tcW w:w="905" w:type="dxa"/>
                  <w:gridSpan w:val="2"/>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4</w:t>
                  </w:r>
                  <w:r>
                    <w:rPr>
                      <w:rFonts w:ascii="楷体_GB2312" w:hAnsi="楷体" w:eastAsia="楷体_GB2312"/>
                      <w:color w:val="000000" w:themeColor="text1"/>
                      <w:sz w:val="24"/>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w:t>
                  </w:r>
                </w:p>
              </w:tc>
              <w:tc>
                <w:tcPr>
                  <w:tcW w:w="2410" w:type="dxa"/>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论民事诉讼被告之“明确”</w:t>
                  </w:r>
                </w:p>
              </w:tc>
              <w:tc>
                <w:tcPr>
                  <w:tcW w:w="1559" w:type="dxa"/>
                  <w:gridSpan w:val="2"/>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《比较法研究》</w:t>
                  </w:r>
                </w:p>
              </w:tc>
              <w:tc>
                <w:tcPr>
                  <w:tcW w:w="1276" w:type="dxa"/>
                  <w:gridSpan w:val="2"/>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2020年</w:t>
                  </w:r>
                </w:p>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第5期</w:t>
                  </w:r>
                </w:p>
              </w:tc>
              <w:tc>
                <w:tcPr>
                  <w:tcW w:w="850" w:type="dxa"/>
                  <w:gridSpan w:val="2"/>
                  <w:shd w:val="clear" w:color="auto" w:fill="auto"/>
                  <w:vAlign w:val="center"/>
                </w:tcPr>
                <w:p>
                  <w:pPr>
                    <w:tabs>
                      <w:tab w:val="left" w:pos="4185"/>
                    </w:tabs>
                    <w:snapToGrid w:val="0"/>
                    <w:jc w:val="center"/>
                    <w:rPr>
                      <w:rFonts w:ascii="楷体_GB2312" w:hAnsi="楷体" w:eastAsia="楷体_GB2312"/>
                      <w:b/>
                      <w:color w:val="000000" w:themeColor="text1"/>
                      <w:sz w:val="24"/>
                      <w14:textFill>
                        <w14:solidFill>
                          <w14:schemeClr w14:val="tx1"/>
                        </w14:solidFill>
                      </w14:textFill>
                    </w:rPr>
                  </w:pPr>
                  <w:r>
                    <w:rPr>
                      <w:rFonts w:hint="eastAsia" w:ascii="楷体_GB2312" w:hAnsi="楷体" w:eastAsia="楷体_GB2312"/>
                      <w:color w:val="000000"/>
                      <w:sz w:val="24"/>
                    </w:rPr>
                    <w:t>独著</w:t>
                  </w:r>
                </w:p>
              </w:tc>
              <w:tc>
                <w:tcPr>
                  <w:tcW w:w="993" w:type="dxa"/>
                  <w:gridSpan w:val="2"/>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2</w:t>
                  </w:r>
                  <w:r>
                    <w:rPr>
                      <w:rFonts w:ascii="楷体_GB2312" w:hAnsi="楷体" w:eastAsia="楷体_GB2312"/>
                      <w:color w:val="000000" w:themeColor="text1"/>
                      <w:sz w:val="24"/>
                      <w14:textFill>
                        <w14:solidFill>
                          <w14:schemeClr w14:val="tx1"/>
                        </w14:solidFill>
                      </w14:textFill>
                    </w:rPr>
                    <w:t>.1</w:t>
                  </w:r>
                  <w:r>
                    <w:rPr>
                      <w:rFonts w:hint="eastAsia" w:ascii="楷体_GB2312" w:hAnsi="楷体" w:eastAsia="楷体_GB2312"/>
                      <w:color w:val="000000" w:themeColor="text1"/>
                      <w:sz w:val="24"/>
                      <w14:textFill>
                        <w14:solidFill>
                          <w14:schemeClr w14:val="tx1"/>
                        </w14:solidFill>
                      </w14:textFill>
                    </w:rPr>
                    <w:t>万</w:t>
                  </w:r>
                </w:p>
              </w:tc>
              <w:tc>
                <w:tcPr>
                  <w:tcW w:w="905" w:type="dxa"/>
                  <w:gridSpan w:val="2"/>
                  <w:shd w:val="clear" w:color="auto" w:fill="auto"/>
                  <w:vAlign w:val="center"/>
                </w:tcPr>
                <w:p>
                  <w:pPr>
                    <w:tabs>
                      <w:tab w:val="left" w:pos="4185"/>
                    </w:tabs>
                    <w:snapToGrid w:val="0"/>
                    <w:jc w:val="center"/>
                    <w:rPr>
                      <w:rFonts w:ascii="楷体_GB2312" w:hAnsi="楷体" w:eastAsia="楷体_GB2312"/>
                      <w:color w:val="000000" w:themeColor="text1"/>
                      <w:sz w:val="24"/>
                      <w14:textFill>
                        <w14:solidFill>
                          <w14:schemeClr w14:val="tx1"/>
                        </w14:solidFill>
                      </w14:textFill>
                    </w:rPr>
                  </w:pPr>
                  <w:r>
                    <w:rPr>
                      <w:rFonts w:hint="eastAsia" w:ascii="楷体_GB2312" w:hAnsi="楷体" w:eastAsia="楷体_GB2312"/>
                      <w:color w:val="000000" w:themeColor="text1"/>
                      <w:sz w:val="24"/>
                      <w14:textFill>
                        <w14:solidFill>
                          <w14:schemeClr w14:val="tx1"/>
                        </w14:solidFill>
                      </w14:textFill>
                    </w:rPr>
                    <w:t>1</w:t>
                  </w:r>
                  <w:r>
                    <w:rPr>
                      <w:rFonts w:ascii="楷体_GB2312" w:hAnsi="楷体" w:eastAsia="楷体_GB2312"/>
                      <w:color w:val="000000" w:themeColor="text1"/>
                      <w:sz w:val="24"/>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序号</w:t>
                  </w:r>
                </w:p>
              </w:tc>
              <w:tc>
                <w:tcPr>
                  <w:tcW w:w="2693" w:type="dxa"/>
                  <w:gridSpan w:val="3"/>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论文名称</w:t>
                  </w:r>
                </w:p>
              </w:tc>
              <w:tc>
                <w:tcPr>
                  <w:tcW w:w="1560" w:type="dxa"/>
                  <w:gridSpan w:val="2"/>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刊物</w:t>
                  </w:r>
                </w:p>
              </w:tc>
              <w:tc>
                <w:tcPr>
                  <w:tcW w:w="1275" w:type="dxa"/>
                  <w:gridSpan w:val="2"/>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发表时间</w:t>
                  </w:r>
                </w:p>
              </w:tc>
              <w:tc>
                <w:tcPr>
                  <w:tcW w:w="851" w:type="dxa"/>
                  <w:gridSpan w:val="2"/>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署名方式</w:t>
                  </w:r>
                </w:p>
              </w:tc>
              <w:tc>
                <w:tcPr>
                  <w:tcW w:w="850" w:type="dxa"/>
                  <w:gridSpan w:val="2"/>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字数</w:t>
                  </w:r>
                </w:p>
              </w:tc>
              <w:tc>
                <w:tcPr>
                  <w:tcW w:w="826"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被引</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1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5</w:t>
                  </w:r>
                </w:p>
              </w:tc>
              <w:tc>
                <w:tcPr>
                  <w:tcW w:w="2693" w:type="dxa"/>
                  <w:gridSpan w:val="3"/>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德日必要共同诉讼“合一确定”概念的嬗变与启示</w:t>
                  </w:r>
                </w:p>
              </w:tc>
              <w:tc>
                <w:tcPr>
                  <w:tcW w:w="156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《现代法学》</w:t>
                  </w:r>
                </w:p>
              </w:tc>
              <w:tc>
                <w:tcPr>
                  <w:tcW w:w="1275"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2016年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第2期</w:t>
                  </w:r>
                </w:p>
              </w:tc>
              <w:tc>
                <w:tcPr>
                  <w:tcW w:w="851"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85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2.5万</w:t>
                  </w:r>
                </w:p>
              </w:tc>
              <w:tc>
                <w:tcPr>
                  <w:tcW w:w="82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6</w:t>
                  </w:r>
                </w:p>
              </w:tc>
              <w:tc>
                <w:tcPr>
                  <w:tcW w:w="2693" w:type="dxa"/>
                  <w:gridSpan w:val="3"/>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程序保障第三波的理论析解与制度安排</w:t>
                  </w:r>
                </w:p>
              </w:tc>
              <w:tc>
                <w:tcPr>
                  <w:tcW w:w="156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《法制与社会发展》</w:t>
                  </w:r>
                </w:p>
              </w:tc>
              <w:tc>
                <w:tcPr>
                  <w:tcW w:w="1275"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2015年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第2期</w:t>
                  </w:r>
                </w:p>
              </w:tc>
              <w:tc>
                <w:tcPr>
                  <w:tcW w:w="851"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85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1.9万</w:t>
                  </w:r>
                </w:p>
              </w:tc>
              <w:tc>
                <w:tcPr>
                  <w:tcW w:w="82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71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7</w:t>
                  </w:r>
                </w:p>
              </w:tc>
              <w:tc>
                <w:tcPr>
                  <w:tcW w:w="2693" w:type="dxa"/>
                  <w:gridSpan w:val="3"/>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预决力批判与事实性证明效展开:已决事实效力论</w:t>
                  </w:r>
                </w:p>
              </w:tc>
              <w:tc>
                <w:tcPr>
                  <w:tcW w:w="156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《法律科学》</w:t>
                  </w:r>
                </w:p>
              </w:tc>
              <w:tc>
                <w:tcPr>
                  <w:tcW w:w="1275"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2015年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第5期</w:t>
                  </w:r>
                </w:p>
              </w:tc>
              <w:tc>
                <w:tcPr>
                  <w:tcW w:w="851"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85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2.0万</w:t>
                  </w:r>
                </w:p>
              </w:tc>
              <w:tc>
                <w:tcPr>
                  <w:tcW w:w="82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8</w:t>
                  </w:r>
                </w:p>
              </w:tc>
              <w:tc>
                <w:tcPr>
                  <w:tcW w:w="2693" w:type="dxa"/>
                  <w:gridSpan w:val="3"/>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日本重复起诉禁止原则及其类型化析解</w:t>
                  </w:r>
                </w:p>
              </w:tc>
              <w:tc>
                <w:tcPr>
                  <w:tcW w:w="156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《比较法研究》</w:t>
                  </w:r>
                </w:p>
              </w:tc>
              <w:tc>
                <w:tcPr>
                  <w:tcW w:w="1275"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2014年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第5期</w:t>
                  </w:r>
                </w:p>
              </w:tc>
              <w:tc>
                <w:tcPr>
                  <w:tcW w:w="851"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85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1.7万</w:t>
                  </w:r>
                </w:p>
              </w:tc>
              <w:tc>
                <w:tcPr>
                  <w:tcW w:w="82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1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9</w:t>
                  </w:r>
                </w:p>
              </w:tc>
              <w:tc>
                <w:tcPr>
                  <w:tcW w:w="2693" w:type="dxa"/>
                  <w:gridSpan w:val="3"/>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民事诉讼举证时限制度的理论解析</w:t>
                  </w:r>
                </w:p>
              </w:tc>
              <w:tc>
                <w:tcPr>
                  <w:tcW w:w="156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《法商研究》</w:t>
                  </w:r>
                </w:p>
              </w:tc>
              <w:tc>
                <w:tcPr>
                  <w:tcW w:w="1275"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2013年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第5期</w:t>
                  </w:r>
                </w:p>
              </w:tc>
              <w:tc>
                <w:tcPr>
                  <w:tcW w:w="851"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85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1.5万</w:t>
                  </w:r>
                </w:p>
              </w:tc>
              <w:tc>
                <w:tcPr>
                  <w:tcW w:w="82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w:t>
                  </w:r>
                  <w:r>
                    <w:rPr>
                      <w:rFonts w:ascii="楷体_GB2312" w:hAnsi="楷体" w:eastAsia="楷体_GB2312"/>
                      <w:color w:val="000000"/>
                      <w:sz w:val="24"/>
                    </w:rPr>
                    <w:t>0</w:t>
                  </w:r>
                </w:p>
              </w:tc>
              <w:tc>
                <w:tcPr>
                  <w:tcW w:w="2693" w:type="dxa"/>
                  <w:gridSpan w:val="3"/>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事实证明抑或法官裁量：民事损害赔偿数额认定的德日经验</w:t>
                  </w:r>
                </w:p>
              </w:tc>
              <w:tc>
                <w:tcPr>
                  <w:tcW w:w="156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《法学家》</w:t>
                  </w:r>
                </w:p>
              </w:tc>
              <w:tc>
                <w:tcPr>
                  <w:tcW w:w="1275"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2012年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第6期</w:t>
                  </w:r>
                </w:p>
              </w:tc>
              <w:tc>
                <w:tcPr>
                  <w:tcW w:w="851"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85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1.2万</w:t>
                  </w:r>
                </w:p>
              </w:tc>
              <w:tc>
                <w:tcPr>
                  <w:tcW w:w="82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w:t>
                  </w:r>
                  <w:r>
                    <w:rPr>
                      <w:rFonts w:ascii="楷体_GB2312" w:hAnsi="楷体" w:eastAsia="楷体_GB2312"/>
                      <w:color w:val="000000"/>
                      <w:sz w:val="24"/>
                    </w:rPr>
                    <w:t>1</w:t>
                  </w:r>
                </w:p>
              </w:tc>
              <w:tc>
                <w:tcPr>
                  <w:tcW w:w="2693" w:type="dxa"/>
                  <w:gridSpan w:val="3"/>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论民事一审之立案程序</w:t>
                  </w:r>
                </w:p>
              </w:tc>
              <w:tc>
                <w:tcPr>
                  <w:tcW w:w="156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《法学评论》</w:t>
                  </w:r>
                </w:p>
              </w:tc>
              <w:tc>
                <w:tcPr>
                  <w:tcW w:w="1275"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2012年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第5期</w:t>
                  </w:r>
                </w:p>
              </w:tc>
              <w:tc>
                <w:tcPr>
                  <w:tcW w:w="851"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85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0.8万</w:t>
                  </w:r>
                </w:p>
              </w:tc>
              <w:tc>
                <w:tcPr>
                  <w:tcW w:w="82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w:t>
                  </w:r>
                  <w:r>
                    <w:rPr>
                      <w:rFonts w:ascii="楷体_GB2312" w:hAnsi="楷体" w:eastAsia="楷体_GB2312"/>
                      <w:color w:val="000000"/>
                      <w:sz w:val="24"/>
                    </w:rPr>
                    <w:t>2</w:t>
                  </w:r>
                </w:p>
              </w:tc>
              <w:tc>
                <w:tcPr>
                  <w:tcW w:w="2693" w:type="dxa"/>
                  <w:gridSpan w:val="3"/>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民事裁判构造论：以请求权为核心展开</w:t>
                  </w:r>
                </w:p>
              </w:tc>
              <w:tc>
                <w:tcPr>
                  <w:tcW w:w="156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《现代法学》</w:t>
                  </w:r>
                </w:p>
              </w:tc>
              <w:tc>
                <w:tcPr>
                  <w:tcW w:w="1275"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2012年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第1期</w:t>
                  </w:r>
                </w:p>
              </w:tc>
              <w:tc>
                <w:tcPr>
                  <w:tcW w:w="851"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85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1.0万</w:t>
                  </w:r>
                </w:p>
              </w:tc>
              <w:tc>
                <w:tcPr>
                  <w:tcW w:w="82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w:t>
                  </w:r>
                  <w:r>
                    <w:rPr>
                      <w:rFonts w:ascii="楷体_GB2312" w:hAnsi="楷体" w:eastAsia="楷体_GB2312"/>
                      <w:color w:val="000000"/>
                      <w:sz w:val="24"/>
                    </w:rPr>
                    <w:t>3</w:t>
                  </w:r>
                </w:p>
              </w:tc>
              <w:tc>
                <w:tcPr>
                  <w:tcW w:w="2693" w:type="dxa"/>
                  <w:gridSpan w:val="3"/>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民事程序视角下的同案不同判</w:t>
                  </w:r>
                </w:p>
              </w:tc>
              <w:tc>
                <w:tcPr>
                  <w:tcW w:w="156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《当代法学》</w:t>
                  </w:r>
                </w:p>
              </w:tc>
              <w:tc>
                <w:tcPr>
                  <w:tcW w:w="1275"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2012年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第5期</w:t>
                  </w:r>
                </w:p>
              </w:tc>
              <w:tc>
                <w:tcPr>
                  <w:tcW w:w="851"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85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0.9万</w:t>
                  </w:r>
                </w:p>
              </w:tc>
              <w:tc>
                <w:tcPr>
                  <w:tcW w:w="82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w:t>
                  </w:r>
                  <w:r>
                    <w:rPr>
                      <w:rFonts w:ascii="楷体_GB2312" w:hAnsi="楷体" w:eastAsia="楷体_GB2312"/>
                      <w:color w:val="000000"/>
                      <w:sz w:val="24"/>
                    </w:rPr>
                    <w:t>4</w:t>
                  </w:r>
                </w:p>
              </w:tc>
              <w:tc>
                <w:tcPr>
                  <w:tcW w:w="2693" w:type="dxa"/>
                  <w:gridSpan w:val="3"/>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德国法律适用突袭问题之对策与启示</w:t>
                  </w:r>
                </w:p>
              </w:tc>
              <w:tc>
                <w:tcPr>
                  <w:tcW w:w="156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《法律科学》</w:t>
                  </w:r>
                </w:p>
              </w:tc>
              <w:tc>
                <w:tcPr>
                  <w:tcW w:w="1275"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2011年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第6期</w:t>
                  </w:r>
                </w:p>
              </w:tc>
              <w:tc>
                <w:tcPr>
                  <w:tcW w:w="851"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85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1.8万</w:t>
                  </w:r>
                </w:p>
              </w:tc>
              <w:tc>
                <w:tcPr>
                  <w:tcW w:w="82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shd w:val="clear" w:color="auto" w:fill="auto"/>
                  <w:vAlign w:val="center"/>
                </w:tcPr>
                <w:p>
                  <w:pPr>
                    <w:tabs>
                      <w:tab w:val="left" w:pos="4185"/>
                    </w:tabs>
                    <w:snapToGrid w:val="0"/>
                    <w:jc w:val="center"/>
                    <w:rPr>
                      <w:rFonts w:ascii="楷体_GB2312" w:hAnsi="楷体" w:eastAsia="楷体_GB2312"/>
                      <w:color w:val="000000"/>
                      <w:sz w:val="24"/>
                    </w:rPr>
                  </w:pPr>
                  <w:r>
                    <w:rPr>
                      <w:rFonts w:ascii="楷体_GB2312" w:hAnsi="楷体" w:eastAsia="楷体_GB2312"/>
                      <w:color w:val="000000"/>
                      <w:sz w:val="24"/>
                    </w:rPr>
                    <w:t>15</w:t>
                  </w:r>
                </w:p>
              </w:tc>
              <w:tc>
                <w:tcPr>
                  <w:tcW w:w="2693" w:type="dxa"/>
                  <w:gridSpan w:val="3"/>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请求权竞合论：以诉之选择性合并为归宿</w:t>
                  </w:r>
                </w:p>
              </w:tc>
              <w:tc>
                <w:tcPr>
                  <w:tcW w:w="156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《现代法学》</w:t>
                  </w:r>
                </w:p>
              </w:tc>
              <w:tc>
                <w:tcPr>
                  <w:tcW w:w="1275"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2010年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第5期</w:t>
                  </w:r>
                </w:p>
              </w:tc>
              <w:tc>
                <w:tcPr>
                  <w:tcW w:w="851"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85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w:t>
                  </w:r>
                  <w:r>
                    <w:rPr>
                      <w:rFonts w:ascii="楷体_GB2312" w:hAnsi="楷体" w:eastAsia="楷体_GB2312"/>
                      <w:color w:val="000000"/>
                      <w:sz w:val="24"/>
                    </w:rPr>
                    <w:t>.0</w:t>
                  </w:r>
                  <w:r>
                    <w:rPr>
                      <w:rFonts w:hint="eastAsia" w:ascii="楷体_GB2312" w:hAnsi="楷体" w:eastAsia="楷体_GB2312"/>
                      <w:color w:val="000000"/>
                      <w:sz w:val="24"/>
                    </w:rPr>
                    <w:t>万</w:t>
                  </w:r>
                </w:p>
              </w:tc>
              <w:tc>
                <w:tcPr>
                  <w:tcW w:w="82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w:t>
                  </w:r>
                  <w:r>
                    <w:rPr>
                      <w:rFonts w:ascii="楷体_GB2312" w:hAnsi="楷体" w:eastAsia="楷体_GB2312"/>
                      <w:color w:val="000000"/>
                      <w:sz w:val="24"/>
                    </w:rPr>
                    <w:t>6</w:t>
                  </w:r>
                </w:p>
              </w:tc>
              <w:tc>
                <w:tcPr>
                  <w:tcW w:w="2693" w:type="dxa"/>
                  <w:gridSpan w:val="3"/>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日本民事诉讼法上部分请求学说与判例评说</w:t>
                  </w:r>
                </w:p>
              </w:tc>
              <w:tc>
                <w:tcPr>
                  <w:tcW w:w="156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《环球法律评论》</w:t>
                  </w:r>
                </w:p>
              </w:tc>
              <w:tc>
                <w:tcPr>
                  <w:tcW w:w="1275"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2010年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第4期</w:t>
                  </w:r>
                </w:p>
              </w:tc>
              <w:tc>
                <w:tcPr>
                  <w:tcW w:w="851"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85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1.2万</w:t>
                  </w:r>
                </w:p>
              </w:tc>
              <w:tc>
                <w:tcPr>
                  <w:tcW w:w="82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w:t>
                  </w:r>
                  <w:r>
                    <w:rPr>
                      <w:rFonts w:ascii="楷体_GB2312" w:hAnsi="楷体" w:eastAsia="楷体_GB2312"/>
                      <w:color w:val="000000"/>
                      <w:sz w:val="24"/>
                    </w:rPr>
                    <w:t>7</w:t>
                  </w:r>
                </w:p>
              </w:tc>
              <w:tc>
                <w:tcPr>
                  <w:tcW w:w="2693" w:type="dxa"/>
                  <w:gridSpan w:val="3"/>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构建我国民事诉讼中间判决制度论——对德国和日本民事中间判决制度的借鉴</w:t>
                  </w:r>
                </w:p>
              </w:tc>
              <w:tc>
                <w:tcPr>
                  <w:tcW w:w="156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《政治与法律》</w:t>
                  </w:r>
                </w:p>
              </w:tc>
              <w:tc>
                <w:tcPr>
                  <w:tcW w:w="1275"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2009年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第10期</w:t>
                  </w:r>
                </w:p>
              </w:tc>
              <w:tc>
                <w:tcPr>
                  <w:tcW w:w="851"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85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1.1万</w:t>
                  </w:r>
                </w:p>
              </w:tc>
              <w:tc>
                <w:tcPr>
                  <w:tcW w:w="82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shd w:val="clear" w:color="auto" w:fill="auto"/>
                  <w:vAlign w:val="center"/>
                </w:tcPr>
                <w:p>
                  <w:pPr>
                    <w:tabs>
                      <w:tab w:val="left" w:pos="4185"/>
                    </w:tabs>
                    <w:snapToGrid w:val="0"/>
                    <w:jc w:val="center"/>
                    <w:rPr>
                      <w:rFonts w:ascii="楷体_GB2312" w:hAnsi="楷体" w:eastAsia="楷体_GB2312"/>
                      <w:color w:val="000000"/>
                      <w:sz w:val="24"/>
                    </w:rPr>
                  </w:pPr>
                  <w:r>
                    <w:rPr>
                      <w:rFonts w:ascii="楷体_GB2312" w:hAnsi="楷体" w:eastAsia="楷体_GB2312"/>
                      <w:color w:val="000000"/>
                      <w:sz w:val="24"/>
                    </w:rPr>
                    <w:t>18</w:t>
                  </w:r>
                </w:p>
              </w:tc>
              <w:tc>
                <w:tcPr>
                  <w:tcW w:w="2693" w:type="dxa"/>
                  <w:gridSpan w:val="3"/>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要件事实理论下的主张责任</w:t>
                  </w:r>
                </w:p>
              </w:tc>
              <w:tc>
                <w:tcPr>
                  <w:tcW w:w="156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《法学评论》</w:t>
                  </w:r>
                </w:p>
              </w:tc>
              <w:tc>
                <w:tcPr>
                  <w:tcW w:w="1275"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2006年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第5期</w:t>
                  </w:r>
                </w:p>
              </w:tc>
              <w:tc>
                <w:tcPr>
                  <w:tcW w:w="851"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85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0.8万</w:t>
                  </w:r>
                </w:p>
              </w:tc>
              <w:tc>
                <w:tcPr>
                  <w:tcW w:w="82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w:t>
                  </w:r>
                  <w:r>
                    <w:rPr>
                      <w:rFonts w:ascii="楷体_GB2312" w:hAnsi="楷体" w:eastAsia="楷体_GB2312"/>
                      <w:color w:val="000000"/>
                      <w:sz w:val="24"/>
                    </w:rPr>
                    <w:t>9</w:t>
                  </w:r>
                </w:p>
              </w:tc>
              <w:tc>
                <w:tcPr>
                  <w:tcW w:w="2693" w:type="dxa"/>
                  <w:gridSpan w:val="3"/>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略论主张责任与证明责任的相互关系</w:t>
                  </w:r>
                </w:p>
              </w:tc>
              <w:tc>
                <w:tcPr>
                  <w:tcW w:w="156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《法学评论》</w:t>
                  </w:r>
                </w:p>
              </w:tc>
              <w:tc>
                <w:tcPr>
                  <w:tcW w:w="1275"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2008年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第3期</w:t>
                  </w:r>
                </w:p>
              </w:tc>
              <w:tc>
                <w:tcPr>
                  <w:tcW w:w="851"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合著</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排名第二</w:t>
                  </w:r>
                </w:p>
              </w:tc>
              <w:tc>
                <w:tcPr>
                  <w:tcW w:w="85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1.0万</w:t>
                  </w:r>
                </w:p>
              </w:tc>
              <w:tc>
                <w:tcPr>
                  <w:tcW w:w="82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r>
                    <w:rPr>
                      <w:rFonts w:ascii="楷体_GB2312" w:hAnsi="楷体" w:eastAsia="楷体_GB2312"/>
                      <w:color w:val="000000"/>
                      <w:sz w:val="24"/>
                    </w:rPr>
                    <w:t>0</w:t>
                  </w:r>
                </w:p>
              </w:tc>
              <w:tc>
                <w:tcPr>
                  <w:tcW w:w="2693" w:type="dxa"/>
                  <w:gridSpan w:val="3"/>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民事诉讼中证明责任论争及启示</w:t>
                  </w:r>
                </w:p>
              </w:tc>
              <w:tc>
                <w:tcPr>
                  <w:tcW w:w="156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《政治与法律》</w:t>
                  </w:r>
                </w:p>
              </w:tc>
              <w:tc>
                <w:tcPr>
                  <w:tcW w:w="1275"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2007年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第6期</w:t>
                  </w:r>
                </w:p>
              </w:tc>
              <w:tc>
                <w:tcPr>
                  <w:tcW w:w="851"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合著</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排名第二</w:t>
                  </w:r>
                </w:p>
              </w:tc>
              <w:tc>
                <w:tcPr>
                  <w:tcW w:w="85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1.2万</w:t>
                  </w:r>
                </w:p>
              </w:tc>
              <w:tc>
                <w:tcPr>
                  <w:tcW w:w="82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r>
                    <w:rPr>
                      <w:rFonts w:ascii="楷体_GB2312" w:hAnsi="楷体" w:eastAsia="楷体_GB2312"/>
                      <w:color w:val="000000"/>
                      <w:sz w:val="24"/>
                    </w:rPr>
                    <w:t>1</w:t>
                  </w:r>
                </w:p>
              </w:tc>
              <w:tc>
                <w:tcPr>
                  <w:tcW w:w="2693" w:type="dxa"/>
                  <w:gridSpan w:val="3"/>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德国表见证明理论在医疗诉讼证明责任分配中的运用</w:t>
                  </w:r>
                </w:p>
              </w:tc>
              <w:tc>
                <w:tcPr>
                  <w:tcW w:w="156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《政治与法律》</w:t>
                  </w:r>
                </w:p>
              </w:tc>
              <w:tc>
                <w:tcPr>
                  <w:tcW w:w="1275"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2007年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第4期</w:t>
                  </w:r>
                </w:p>
              </w:tc>
              <w:tc>
                <w:tcPr>
                  <w:tcW w:w="851"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合著</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排名第二</w:t>
                  </w:r>
                </w:p>
              </w:tc>
              <w:tc>
                <w:tcPr>
                  <w:tcW w:w="850" w:type="dxa"/>
                  <w:gridSpan w:val="2"/>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1.0万</w:t>
                  </w:r>
                </w:p>
              </w:tc>
              <w:tc>
                <w:tcPr>
                  <w:tcW w:w="82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49</w:t>
                  </w:r>
                </w:p>
              </w:tc>
            </w:tr>
          </w:tbl>
          <w:p>
            <w:pPr>
              <w:tabs>
                <w:tab w:val="left" w:pos="4185"/>
              </w:tabs>
              <w:snapToGrid w:val="0"/>
              <w:rPr>
                <w:rFonts w:ascii="楷体_GB2312" w:hAnsi="楷体" w:eastAsia="楷体_GB2312"/>
                <w:b/>
                <w:color w:val="000000"/>
                <w:sz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410"/>
              <w:gridCol w:w="1559"/>
              <w:gridCol w:w="1276"/>
              <w:gridCol w:w="850"/>
              <w:gridCol w:w="993"/>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序号</w:t>
                  </w:r>
                </w:p>
              </w:tc>
              <w:tc>
                <w:tcPr>
                  <w:tcW w:w="2410"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论文名称</w:t>
                  </w:r>
                </w:p>
              </w:tc>
              <w:tc>
                <w:tcPr>
                  <w:tcW w:w="1559"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刊物</w:t>
                  </w:r>
                </w:p>
              </w:tc>
              <w:tc>
                <w:tcPr>
                  <w:tcW w:w="1276"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发表时间</w:t>
                  </w:r>
                </w:p>
              </w:tc>
              <w:tc>
                <w:tcPr>
                  <w:tcW w:w="850"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署名方式</w:t>
                  </w:r>
                </w:p>
              </w:tc>
              <w:tc>
                <w:tcPr>
                  <w:tcW w:w="993"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字数</w:t>
                  </w:r>
                </w:p>
              </w:tc>
              <w:tc>
                <w:tcPr>
                  <w:tcW w:w="905"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被引</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r>
                    <w:rPr>
                      <w:rFonts w:ascii="楷体_GB2312" w:hAnsi="楷体" w:eastAsia="楷体_GB2312"/>
                      <w:color w:val="000000"/>
                      <w:sz w:val="24"/>
                    </w:rPr>
                    <w:t>2</w:t>
                  </w:r>
                </w:p>
              </w:tc>
              <w:tc>
                <w:tcPr>
                  <w:tcW w:w="241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证据保全的性质重识与功能再造</w:t>
                  </w:r>
                </w:p>
              </w:tc>
              <w:tc>
                <w:tcPr>
                  <w:tcW w:w="155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《南京社会科学》</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2017</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第5期</w:t>
                  </w:r>
                </w:p>
              </w:tc>
              <w:tc>
                <w:tcPr>
                  <w:tcW w:w="85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合著</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排名第一</w:t>
                  </w:r>
                </w:p>
              </w:tc>
              <w:tc>
                <w:tcPr>
                  <w:tcW w:w="9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1.2万</w:t>
                  </w:r>
                </w:p>
              </w:tc>
              <w:tc>
                <w:tcPr>
                  <w:tcW w:w="905"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r>
                    <w:rPr>
                      <w:rFonts w:ascii="楷体_GB2312" w:hAnsi="楷体" w:eastAsia="楷体_GB2312"/>
                      <w:color w:val="000000"/>
                      <w:sz w:val="24"/>
                    </w:rPr>
                    <w:t>3</w:t>
                  </w:r>
                </w:p>
              </w:tc>
              <w:tc>
                <w:tcPr>
                  <w:tcW w:w="241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共有财产涉讼类型化析解</w:t>
                  </w:r>
                </w:p>
              </w:tc>
              <w:tc>
                <w:tcPr>
                  <w:tcW w:w="155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《国家检察官学院学报》</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2016年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第2期</w:t>
                  </w:r>
                </w:p>
              </w:tc>
              <w:tc>
                <w:tcPr>
                  <w:tcW w:w="85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1.7万</w:t>
                  </w:r>
                </w:p>
              </w:tc>
              <w:tc>
                <w:tcPr>
                  <w:tcW w:w="905"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r>
                    <w:rPr>
                      <w:rFonts w:ascii="楷体_GB2312" w:hAnsi="楷体" w:eastAsia="楷体_GB2312"/>
                      <w:color w:val="000000"/>
                      <w:sz w:val="24"/>
                    </w:rPr>
                    <w:t>4</w:t>
                  </w:r>
                </w:p>
              </w:tc>
              <w:tc>
                <w:tcPr>
                  <w:tcW w:w="241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协动主义的理论之维</w:t>
                  </w:r>
                </w:p>
              </w:tc>
              <w:tc>
                <w:tcPr>
                  <w:tcW w:w="155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《中国海洋大学学报》</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2012年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第3期</w:t>
                  </w:r>
                </w:p>
              </w:tc>
              <w:tc>
                <w:tcPr>
                  <w:tcW w:w="85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1.3万</w:t>
                  </w:r>
                </w:p>
              </w:tc>
              <w:tc>
                <w:tcPr>
                  <w:tcW w:w="905"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r>
                    <w:rPr>
                      <w:rFonts w:ascii="楷体_GB2312" w:hAnsi="楷体" w:eastAsia="楷体_GB2312"/>
                      <w:color w:val="000000"/>
                      <w:sz w:val="24"/>
                    </w:rPr>
                    <w:t>5</w:t>
                  </w:r>
                </w:p>
              </w:tc>
              <w:tc>
                <w:tcPr>
                  <w:tcW w:w="241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美日民事诉状比较及借鉴</w:t>
                  </w:r>
                </w:p>
              </w:tc>
              <w:tc>
                <w:tcPr>
                  <w:tcW w:w="155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《国家检察官学院学报》</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2012年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第2期</w:t>
                  </w:r>
                </w:p>
              </w:tc>
              <w:tc>
                <w:tcPr>
                  <w:tcW w:w="85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1.0万</w:t>
                  </w:r>
                </w:p>
              </w:tc>
              <w:tc>
                <w:tcPr>
                  <w:tcW w:w="905"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r>
                    <w:rPr>
                      <w:rFonts w:ascii="楷体_GB2312" w:hAnsi="楷体" w:eastAsia="楷体_GB2312"/>
                      <w:color w:val="000000"/>
                      <w:sz w:val="24"/>
                    </w:rPr>
                    <w:t>6</w:t>
                  </w:r>
                </w:p>
              </w:tc>
              <w:tc>
                <w:tcPr>
                  <w:tcW w:w="241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民事诉讼制度目的视角下的裁判构造论</w:t>
                  </w:r>
                </w:p>
              </w:tc>
              <w:tc>
                <w:tcPr>
                  <w:tcW w:w="155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《南京社会科学》</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2010年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第9期</w:t>
                  </w:r>
                </w:p>
              </w:tc>
              <w:tc>
                <w:tcPr>
                  <w:tcW w:w="85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0.8万</w:t>
                  </w:r>
                </w:p>
              </w:tc>
              <w:tc>
                <w:tcPr>
                  <w:tcW w:w="905"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r>
                    <w:rPr>
                      <w:rFonts w:ascii="楷体_GB2312" w:hAnsi="楷体" w:eastAsia="楷体_GB2312"/>
                      <w:color w:val="000000"/>
                      <w:sz w:val="24"/>
                    </w:rPr>
                    <w:t>7</w:t>
                  </w:r>
                </w:p>
              </w:tc>
              <w:tc>
                <w:tcPr>
                  <w:tcW w:w="241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诉讼资料提出失权制度之德日比较与启示</w:t>
                  </w:r>
                </w:p>
              </w:tc>
              <w:tc>
                <w:tcPr>
                  <w:tcW w:w="155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《浙江社会科学》</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2010</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第7期</w:t>
                  </w:r>
                </w:p>
              </w:tc>
              <w:tc>
                <w:tcPr>
                  <w:tcW w:w="85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1.2万</w:t>
                  </w:r>
                </w:p>
              </w:tc>
              <w:tc>
                <w:tcPr>
                  <w:tcW w:w="905"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r>
                    <w:rPr>
                      <w:rFonts w:ascii="楷体_GB2312" w:hAnsi="楷体" w:eastAsia="楷体_GB2312"/>
                      <w:color w:val="000000"/>
                      <w:sz w:val="24"/>
                    </w:rPr>
                    <w:t>8</w:t>
                  </w:r>
                </w:p>
              </w:tc>
              <w:tc>
                <w:tcPr>
                  <w:tcW w:w="241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协动主义下的审理契约论</w:t>
                  </w:r>
                </w:p>
              </w:tc>
              <w:tc>
                <w:tcPr>
                  <w:tcW w:w="155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《宁夏社会科学》</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2010年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第4期</w:t>
                  </w:r>
                </w:p>
              </w:tc>
              <w:tc>
                <w:tcPr>
                  <w:tcW w:w="85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1.0万</w:t>
                  </w:r>
                </w:p>
              </w:tc>
              <w:tc>
                <w:tcPr>
                  <w:tcW w:w="905"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r>
                    <w:rPr>
                      <w:rFonts w:ascii="楷体_GB2312" w:hAnsi="楷体" w:eastAsia="楷体_GB2312"/>
                      <w:color w:val="000000"/>
                      <w:sz w:val="24"/>
                    </w:rPr>
                    <w:t>9</w:t>
                  </w:r>
                </w:p>
              </w:tc>
              <w:tc>
                <w:tcPr>
                  <w:tcW w:w="241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民事证据限制契约论</w:t>
                  </w:r>
                </w:p>
              </w:tc>
              <w:tc>
                <w:tcPr>
                  <w:tcW w:w="155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《新疆大学学报（哲学人文社会科学版）》</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2010年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第3期</w:t>
                  </w:r>
                </w:p>
              </w:tc>
              <w:tc>
                <w:tcPr>
                  <w:tcW w:w="85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0.7万</w:t>
                  </w:r>
                </w:p>
              </w:tc>
              <w:tc>
                <w:tcPr>
                  <w:tcW w:w="905"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color w:val="000000"/>
                      <w:sz w:val="24"/>
                    </w:rPr>
                  </w:pPr>
                  <w:r>
                    <w:rPr>
                      <w:rFonts w:ascii="楷体_GB2312" w:hAnsi="楷体" w:eastAsia="楷体_GB2312"/>
                      <w:color w:val="000000"/>
                      <w:sz w:val="24"/>
                    </w:rPr>
                    <w:t>30</w:t>
                  </w:r>
                </w:p>
              </w:tc>
              <w:tc>
                <w:tcPr>
                  <w:tcW w:w="241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利益衡量与要件规制：美国民事证明责任理论与启示</w:t>
                  </w:r>
                </w:p>
              </w:tc>
              <w:tc>
                <w:tcPr>
                  <w:tcW w:w="155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《南京社会科学》</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2009年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第3期</w:t>
                  </w:r>
                </w:p>
              </w:tc>
              <w:tc>
                <w:tcPr>
                  <w:tcW w:w="85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0.7万</w:t>
                  </w:r>
                </w:p>
              </w:tc>
              <w:tc>
                <w:tcPr>
                  <w:tcW w:w="905"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w:t>
                  </w:r>
                  <w:r>
                    <w:rPr>
                      <w:rFonts w:ascii="楷体_GB2312" w:hAnsi="楷体" w:eastAsia="楷体_GB2312"/>
                      <w:color w:val="000000"/>
                      <w:sz w:val="24"/>
                    </w:rPr>
                    <w:t>1</w:t>
                  </w:r>
                </w:p>
              </w:tc>
              <w:tc>
                <w:tcPr>
                  <w:tcW w:w="241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美国民事诉讼标的内涵的变迁——以诉讼方式的发展为主线</w:t>
                  </w:r>
                </w:p>
              </w:tc>
              <w:tc>
                <w:tcPr>
                  <w:tcW w:w="155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《学海》</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2009年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第2期</w:t>
                  </w:r>
                </w:p>
              </w:tc>
              <w:tc>
                <w:tcPr>
                  <w:tcW w:w="85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0.8万</w:t>
                  </w:r>
                </w:p>
              </w:tc>
              <w:tc>
                <w:tcPr>
                  <w:tcW w:w="905"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w:t>
                  </w:r>
                  <w:r>
                    <w:rPr>
                      <w:rFonts w:ascii="楷体_GB2312" w:hAnsi="楷体" w:eastAsia="楷体_GB2312"/>
                      <w:color w:val="000000"/>
                      <w:sz w:val="24"/>
                    </w:rPr>
                    <w:t>2</w:t>
                  </w:r>
                </w:p>
              </w:tc>
              <w:tc>
                <w:tcPr>
                  <w:tcW w:w="241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日本口头审理方式的历史变迁</w:t>
                  </w:r>
                </w:p>
              </w:tc>
              <w:tc>
                <w:tcPr>
                  <w:tcW w:w="155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《宁夏社会科学》</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2009年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第1期</w:t>
                  </w:r>
                </w:p>
              </w:tc>
              <w:tc>
                <w:tcPr>
                  <w:tcW w:w="85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0.7万</w:t>
                  </w:r>
                </w:p>
              </w:tc>
              <w:tc>
                <w:tcPr>
                  <w:tcW w:w="905"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w:t>
                  </w:r>
                  <w:r>
                    <w:rPr>
                      <w:rFonts w:ascii="楷体_GB2312" w:hAnsi="楷体" w:eastAsia="楷体_GB2312"/>
                      <w:color w:val="000000"/>
                      <w:sz w:val="24"/>
                    </w:rPr>
                    <w:t>3</w:t>
                  </w:r>
                </w:p>
              </w:tc>
              <w:tc>
                <w:tcPr>
                  <w:tcW w:w="241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两大法系民事诉讼构造论</w:t>
                  </w:r>
                </w:p>
              </w:tc>
              <w:tc>
                <w:tcPr>
                  <w:tcW w:w="155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《宁夏大学学报》</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2009年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第4期</w:t>
                  </w:r>
                </w:p>
              </w:tc>
              <w:tc>
                <w:tcPr>
                  <w:tcW w:w="85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1.2万</w:t>
                  </w:r>
                </w:p>
              </w:tc>
              <w:tc>
                <w:tcPr>
                  <w:tcW w:w="905"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w:t>
                  </w:r>
                  <w:r>
                    <w:rPr>
                      <w:rFonts w:ascii="楷体_GB2312" w:hAnsi="楷体" w:eastAsia="楷体_GB2312"/>
                      <w:color w:val="000000"/>
                      <w:sz w:val="24"/>
                    </w:rPr>
                    <w:t>4</w:t>
                  </w:r>
                </w:p>
              </w:tc>
              <w:tc>
                <w:tcPr>
                  <w:tcW w:w="241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间接反证——事实认定中的效用论</w:t>
                  </w:r>
                </w:p>
              </w:tc>
              <w:tc>
                <w:tcPr>
                  <w:tcW w:w="155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《宁夏大学学报》</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2008年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第3期</w:t>
                  </w:r>
                </w:p>
              </w:tc>
              <w:tc>
                <w:tcPr>
                  <w:tcW w:w="85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0.9万</w:t>
                  </w:r>
                </w:p>
              </w:tc>
              <w:tc>
                <w:tcPr>
                  <w:tcW w:w="905"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color w:val="000000"/>
                      <w:sz w:val="24"/>
                    </w:rPr>
                  </w:pPr>
                  <w:r>
                    <w:rPr>
                      <w:rFonts w:ascii="楷体_GB2312" w:hAnsi="楷体" w:eastAsia="楷体_GB2312"/>
                      <w:color w:val="000000"/>
                      <w:sz w:val="24"/>
                    </w:rPr>
                    <w:t>35</w:t>
                  </w:r>
                </w:p>
              </w:tc>
              <w:tc>
                <w:tcPr>
                  <w:tcW w:w="241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日美现代型诉讼比较</w:t>
                  </w:r>
                </w:p>
              </w:tc>
              <w:tc>
                <w:tcPr>
                  <w:tcW w:w="155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《社会科学研究》</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2007年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第1期</w:t>
                  </w:r>
                </w:p>
              </w:tc>
              <w:tc>
                <w:tcPr>
                  <w:tcW w:w="85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0.8万</w:t>
                  </w:r>
                </w:p>
              </w:tc>
              <w:tc>
                <w:tcPr>
                  <w:tcW w:w="905"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color w:val="000000"/>
                      <w:sz w:val="24"/>
                    </w:rPr>
                  </w:pPr>
                  <w:r>
                    <w:rPr>
                      <w:rFonts w:ascii="楷体_GB2312" w:hAnsi="楷体" w:eastAsia="楷体_GB2312"/>
                      <w:color w:val="000000"/>
                      <w:sz w:val="24"/>
                    </w:rPr>
                    <w:t>36</w:t>
                  </w:r>
                </w:p>
              </w:tc>
              <w:tc>
                <w:tcPr>
                  <w:tcW w:w="241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民事要件事实与民事证明责任分配</w:t>
                  </w:r>
                </w:p>
              </w:tc>
              <w:tc>
                <w:tcPr>
                  <w:tcW w:w="155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《学海》</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2006年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第5期</w:t>
                  </w:r>
                </w:p>
              </w:tc>
              <w:tc>
                <w:tcPr>
                  <w:tcW w:w="85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0.6万</w:t>
                  </w:r>
                </w:p>
              </w:tc>
              <w:tc>
                <w:tcPr>
                  <w:tcW w:w="905"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w:t>
                  </w:r>
                  <w:r>
                    <w:rPr>
                      <w:rFonts w:ascii="楷体_GB2312" w:hAnsi="楷体" w:eastAsia="楷体_GB2312"/>
                      <w:color w:val="000000"/>
                      <w:sz w:val="24"/>
                    </w:rPr>
                    <w:t>7</w:t>
                  </w:r>
                </w:p>
              </w:tc>
              <w:tc>
                <w:tcPr>
                  <w:tcW w:w="2410" w:type="dxa"/>
                  <w:shd w:val="clear" w:color="auto" w:fill="auto"/>
                  <w:vAlign w:val="center"/>
                </w:tcPr>
                <w:p>
                  <w:pPr>
                    <w:wordWrap w:val="0"/>
                    <w:spacing w:line="300" w:lineRule="atLeast"/>
                    <w:jc w:val="center"/>
                    <w:rPr>
                      <w:color w:val="778192"/>
                      <w:spacing w:val="8"/>
                      <w:szCs w:val="21"/>
                    </w:rPr>
                  </w:pPr>
                  <w:r>
                    <w:fldChar w:fldCharType="begin"/>
                  </w:r>
                  <w:r>
                    <w:instrText xml:space="preserve"> HYPERLINK "http://gfagzcadd5f6184ce4461scnuv9fx0vuf06bfv.fzfy.oca.swupl.edu.cn/kns8/Detail?sfield=fn&amp;QueryID=1&amp;CurRec=2&amp;DbCode=CJFD&amp;dbname=CJFDLAST2022&amp;filename=SYJG202111007&amp;urlid=&amp;yx=" \t "_blank" </w:instrText>
                  </w:r>
                  <w:r>
                    <w:fldChar w:fldCharType="separate"/>
                  </w:r>
                  <w:r>
                    <w:rPr>
                      <w:rFonts w:ascii="楷体_GB2312" w:hAnsi="楷体" w:eastAsia="楷体_GB2312"/>
                      <w:sz w:val="24"/>
                    </w:rPr>
                    <w:t>论</w:t>
                  </w:r>
                  <w:r>
                    <w:rPr>
                      <w:rFonts w:ascii="楷体_GB2312" w:hAnsi="楷体" w:eastAsia="楷体_GB2312"/>
                      <w:color w:val="000000"/>
                      <w:sz w:val="24"/>
                    </w:rPr>
                    <w:t>股东代表诉讼之判决既判力</w:t>
                  </w:r>
                  <w:r>
                    <w:rPr>
                      <w:rFonts w:ascii="楷体_GB2312" w:hAnsi="楷体" w:eastAsia="楷体_GB2312"/>
                      <w:sz w:val="24"/>
                    </w:rPr>
                    <w:t>主观范围的扩张</w:t>
                  </w:r>
                  <w:r>
                    <w:rPr>
                      <w:rFonts w:ascii="楷体_GB2312" w:hAnsi="楷体" w:eastAsia="楷体_GB2312"/>
                      <w:sz w:val="24"/>
                    </w:rPr>
                    <w:fldChar w:fldCharType="end"/>
                  </w:r>
                </w:p>
              </w:tc>
              <w:tc>
                <w:tcPr>
                  <w:tcW w:w="155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《商业经济与管理》</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2021年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第11期</w:t>
                  </w:r>
                </w:p>
              </w:tc>
              <w:tc>
                <w:tcPr>
                  <w:tcW w:w="85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合著</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排名第二</w:t>
                  </w:r>
                </w:p>
              </w:tc>
              <w:tc>
                <w:tcPr>
                  <w:tcW w:w="9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w:t>
                  </w:r>
                  <w:r>
                    <w:rPr>
                      <w:rFonts w:ascii="楷体_GB2312" w:hAnsi="楷体" w:eastAsia="楷体_GB2312"/>
                      <w:color w:val="000000"/>
                      <w:sz w:val="24"/>
                    </w:rPr>
                    <w:t>.8</w:t>
                  </w:r>
                  <w:r>
                    <w:rPr>
                      <w:rFonts w:hint="eastAsia" w:ascii="楷体_GB2312" w:hAnsi="楷体" w:eastAsia="楷体_GB2312"/>
                      <w:color w:val="000000"/>
                      <w:sz w:val="24"/>
                    </w:rPr>
                    <w:t>万</w:t>
                  </w:r>
                </w:p>
              </w:tc>
              <w:tc>
                <w:tcPr>
                  <w:tcW w:w="905"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 w:type="dxa"/>
                  <w:shd w:val="clear" w:color="auto" w:fill="auto"/>
                  <w:vAlign w:val="center"/>
                </w:tcPr>
                <w:p>
                  <w:pPr>
                    <w:tabs>
                      <w:tab w:val="left" w:pos="4185"/>
                    </w:tabs>
                    <w:snapToGrid w:val="0"/>
                    <w:jc w:val="center"/>
                    <w:rPr>
                      <w:rFonts w:ascii="楷体_GB2312" w:hAnsi="楷体" w:eastAsia="楷体_GB2312"/>
                      <w:color w:val="000000"/>
                      <w:sz w:val="24"/>
                    </w:rPr>
                  </w:pPr>
                  <w:r>
                    <w:rPr>
                      <w:rFonts w:ascii="楷体_GB2312" w:hAnsi="楷体" w:eastAsia="楷体_GB2312"/>
                      <w:color w:val="000000"/>
                      <w:sz w:val="24"/>
                    </w:rPr>
                    <w:t>38</w:t>
                  </w:r>
                </w:p>
              </w:tc>
              <w:tc>
                <w:tcPr>
                  <w:tcW w:w="241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主张证明责任视角下的民法：以不当得利为切入点</w:t>
                  </w:r>
                </w:p>
              </w:tc>
              <w:tc>
                <w:tcPr>
                  <w:tcW w:w="155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《暨南学报（哲学社会科学版）》</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2011年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第3期</w:t>
                  </w:r>
                </w:p>
              </w:tc>
              <w:tc>
                <w:tcPr>
                  <w:tcW w:w="85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合著</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排名第二</w:t>
                  </w:r>
                </w:p>
              </w:tc>
              <w:tc>
                <w:tcPr>
                  <w:tcW w:w="9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0.9万</w:t>
                  </w:r>
                </w:p>
              </w:tc>
              <w:tc>
                <w:tcPr>
                  <w:tcW w:w="905"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19</w:t>
                  </w:r>
                </w:p>
              </w:tc>
            </w:tr>
          </w:tbl>
          <w:p>
            <w:pPr>
              <w:tabs>
                <w:tab w:val="left" w:pos="4185"/>
              </w:tabs>
              <w:snapToGrid w:val="0"/>
              <w:jc w:val="center"/>
              <w:rPr>
                <w:rFonts w:ascii="楷体_GB2312" w:hAnsi="楷体" w:eastAsia="楷体_GB2312"/>
                <w:b/>
                <w:color w:val="000000"/>
                <w:sz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2400"/>
              <w:gridCol w:w="1553"/>
              <w:gridCol w:w="1271"/>
              <w:gridCol w:w="847"/>
              <w:gridCol w:w="989"/>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73"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序号</w:t>
                  </w:r>
                </w:p>
              </w:tc>
              <w:tc>
                <w:tcPr>
                  <w:tcW w:w="2400"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论文名称</w:t>
                  </w:r>
                </w:p>
              </w:tc>
              <w:tc>
                <w:tcPr>
                  <w:tcW w:w="1553"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刊物</w:t>
                  </w:r>
                </w:p>
              </w:tc>
              <w:tc>
                <w:tcPr>
                  <w:tcW w:w="1271"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发表时间</w:t>
                  </w:r>
                </w:p>
              </w:tc>
              <w:tc>
                <w:tcPr>
                  <w:tcW w:w="847"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署名方式</w:t>
                  </w:r>
                </w:p>
              </w:tc>
              <w:tc>
                <w:tcPr>
                  <w:tcW w:w="989"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字数</w:t>
                  </w:r>
                </w:p>
              </w:tc>
              <w:tc>
                <w:tcPr>
                  <w:tcW w:w="901"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被引</w:t>
                  </w:r>
                </w:p>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7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w:t>
                  </w:r>
                  <w:r>
                    <w:rPr>
                      <w:rFonts w:ascii="楷体_GB2312" w:hAnsi="楷体" w:eastAsia="楷体_GB2312"/>
                      <w:color w:val="000000"/>
                      <w:sz w:val="24"/>
                    </w:rPr>
                    <w:t>9</w:t>
                  </w:r>
                </w:p>
              </w:tc>
              <w:tc>
                <w:tcPr>
                  <w:tcW w:w="240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民事要件事实与民事判决书改革</w:t>
                  </w:r>
                </w:p>
              </w:tc>
              <w:tc>
                <w:tcPr>
                  <w:tcW w:w="155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《学海》</w:t>
                  </w:r>
                </w:p>
              </w:tc>
              <w:tc>
                <w:tcPr>
                  <w:tcW w:w="127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2007年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第1期</w:t>
                  </w:r>
                </w:p>
              </w:tc>
              <w:tc>
                <w:tcPr>
                  <w:tcW w:w="847"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合著</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排名第二</w:t>
                  </w:r>
                </w:p>
              </w:tc>
              <w:tc>
                <w:tcPr>
                  <w:tcW w:w="98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0.9万</w:t>
                  </w:r>
                </w:p>
              </w:tc>
              <w:tc>
                <w:tcPr>
                  <w:tcW w:w="90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73" w:type="dxa"/>
                  <w:shd w:val="clear" w:color="auto" w:fill="auto"/>
                  <w:vAlign w:val="center"/>
                </w:tcPr>
                <w:p>
                  <w:pPr>
                    <w:tabs>
                      <w:tab w:val="left" w:pos="4185"/>
                    </w:tabs>
                    <w:snapToGrid w:val="0"/>
                    <w:jc w:val="center"/>
                    <w:rPr>
                      <w:rFonts w:ascii="楷体_GB2312" w:hAnsi="楷体" w:eastAsia="楷体_GB2312"/>
                      <w:color w:val="000000"/>
                      <w:sz w:val="24"/>
                    </w:rPr>
                  </w:pPr>
                  <w:r>
                    <w:rPr>
                      <w:rFonts w:ascii="楷体_GB2312" w:hAnsi="楷体" w:eastAsia="楷体_GB2312"/>
                      <w:color w:val="000000"/>
                      <w:sz w:val="24"/>
                    </w:rPr>
                    <w:t>40</w:t>
                  </w:r>
                </w:p>
              </w:tc>
              <w:tc>
                <w:tcPr>
                  <w:tcW w:w="240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要件事实理论视角下的民法</w:t>
                  </w:r>
                </w:p>
              </w:tc>
              <w:tc>
                <w:tcPr>
                  <w:tcW w:w="155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《学术论坛》</w:t>
                  </w:r>
                </w:p>
              </w:tc>
              <w:tc>
                <w:tcPr>
                  <w:tcW w:w="127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2006年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第6期</w:t>
                  </w:r>
                </w:p>
              </w:tc>
              <w:tc>
                <w:tcPr>
                  <w:tcW w:w="847"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合著</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排名第二</w:t>
                  </w:r>
                </w:p>
              </w:tc>
              <w:tc>
                <w:tcPr>
                  <w:tcW w:w="98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0.9万</w:t>
                  </w:r>
                </w:p>
              </w:tc>
              <w:tc>
                <w:tcPr>
                  <w:tcW w:w="90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73" w:type="dxa"/>
                  <w:shd w:val="clear" w:color="auto" w:fill="auto"/>
                  <w:vAlign w:val="center"/>
                </w:tcPr>
                <w:p>
                  <w:pPr>
                    <w:tabs>
                      <w:tab w:val="left" w:pos="4185"/>
                    </w:tabs>
                    <w:snapToGrid w:val="0"/>
                    <w:jc w:val="center"/>
                    <w:rPr>
                      <w:rFonts w:ascii="楷体_GB2312" w:hAnsi="楷体" w:eastAsia="楷体_GB2312"/>
                      <w:color w:val="000000"/>
                      <w:sz w:val="24"/>
                    </w:rPr>
                  </w:pPr>
                  <w:r>
                    <w:rPr>
                      <w:rFonts w:ascii="楷体_GB2312" w:hAnsi="楷体" w:eastAsia="楷体_GB2312"/>
                      <w:color w:val="000000"/>
                      <w:sz w:val="24"/>
                    </w:rPr>
                    <w:t>41</w:t>
                  </w:r>
                </w:p>
              </w:tc>
              <w:tc>
                <w:tcPr>
                  <w:tcW w:w="240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完善案例指导制度，减少“同案不同判”</w:t>
                  </w:r>
                </w:p>
              </w:tc>
              <w:tc>
                <w:tcPr>
                  <w:tcW w:w="155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《人民日报》</w:t>
                  </w:r>
                </w:p>
              </w:tc>
              <w:tc>
                <w:tcPr>
                  <w:tcW w:w="127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2012年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5月9日</w:t>
                  </w:r>
                </w:p>
              </w:tc>
              <w:tc>
                <w:tcPr>
                  <w:tcW w:w="847"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8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0.13万</w:t>
                  </w:r>
                </w:p>
              </w:tc>
              <w:tc>
                <w:tcPr>
                  <w:tcW w:w="90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77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w:t>
                  </w:r>
                  <w:r>
                    <w:rPr>
                      <w:rFonts w:ascii="楷体_GB2312" w:hAnsi="楷体" w:eastAsia="楷体_GB2312"/>
                      <w:color w:val="000000"/>
                      <w:sz w:val="24"/>
                    </w:rPr>
                    <w:t>2</w:t>
                  </w:r>
                </w:p>
              </w:tc>
              <w:tc>
                <w:tcPr>
                  <w:tcW w:w="240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哲学、历史与文化——《诉讼法学方法论》评析</w:t>
                  </w:r>
                </w:p>
              </w:tc>
              <w:tc>
                <w:tcPr>
                  <w:tcW w:w="155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《法制日报》</w:t>
                  </w:r>
                </w:p>
              </w:tc>
              <w:tc>
                <w:tcPr>
                  <w:tcW w:w="127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 xml:space="preserve">2009年 12月 23日 </w:t>
                  </w:r>
                </w:p>
              </w:tc>
              <w:tc>
                <w:tcPr>
                  <w:tcW w:w="847"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8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0.15万</w:t>
                  </w:r>
                </w:p>
              </w:tc>
              <w:tc>
                <w:tcPr>
                  <w:tcW w:w="90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77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w:t>
                  </w:r>
                  <w:r>
                    <w:rPr>
                      <w:rFonts w:ascii="楷体_GB2312" w:hAnsi="楷体" w:eastAsia="楷体_GB2312"/>
                      <w:color w:val="000000"/>
                      <w:sz w:val="24"/>
                    </w:rPr>
                    <w:t>3</w:t>
                  </w:r>
                </w:p>
              </w:tc>
              <w:tc>
                <w:tcPr>
                  <w:tcW w:w="2400" w:type="dxa"/>
                  <w:shd w:val="clear" w:color="auto" w:fill="auto"/>
                  <w:vAlign w:val="center"/>
                </w:tcPr>
                <w:p>
                  <w:pPr>
                    <w:tabs>
                      <w:tab w:val="left" w:pos="4185"/>
                    </w:tabs>
                    <w:snapToGrid w:val="0"/>
                    <w:jc w:val="center"/>
                    <w:rPr>
                      <w:rFonts w:ascii="楷体_GB2312" w:hAnsi="楷体" w:eastAsia="楷体_GB2312"/>
                      <w:color w:val="000000"/>
                      <w:sz w:val="24"/>
                    </w:rPr>
                  </w:pPr>
                  <w:r>
                    <w:fldChar w:fldCharType="begin"/>
                  </w:r>
                  <w:r>
                    <w:instrText xml:space="preserve"> HYPERLINK "http://gfagzcadd5f6184ce4461scnuv9fx0vuf06bfv.fzfy.oca.swupl.edu.cn/kns8/Detail?sfield=fn&amp;QueryID=1&amp;CurRec=7&amp;DbCode=CJFD&amp;dbname=CJFDLAST2021&amp;filename=RMSF202029016&amp;urlid=&amp;yx=" \t "_blank" </w:instrText>
                  </w:r>
                  <w:r>
                    <w:fldChar w:fldCharType="separate"/>
                  </w:r>
                  <w:r>
                    <w:rPr>
                      <w:rFonts w:ascii="楷体_GB2312" w:hAnsi="楷体" w:eastAsia="楷体_GB2312"/>
                      <w:sz w:val="24"/>
                    </w:rPr>
                    <w:t>矛盾诉讼请求的裁判规则</w:t>
                  </w:r>
                  <w:r>
                    <w:rPr>
                      <w:rFonts w:ascii="楷体_GB2312" w:hAnsi="楷体" w:eastAsia="楷体_GB2312"/>
                      <w:sz w:val="24"/>
                    </w:rPr>
                    <w:fldChar w:fldCharType="end"/>
                  </w:r>
                </w:p>
              </w:tc>
              <w:tc>
                <w:tcPr>
                  <w:tcW w:w="155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《人民司法》</w:t>
                  </w:r>
                </w:p>
              </w:tc>
              <w:tc>
                <w:tcPr>
                  <w:tcW w:w="127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2020年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第29期</w:t>
                  </w:r>
                </w:p>
              </w:tc>
              <w:tc>
                <w:tcPr>
                  <w:tcW w:w="847"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合著</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排名第三</w:t>
                  </w:r>
                </w:p>
              </w:tc>
              <w:tc>
                <w:tcPr>
                  <w:tcW w:w="98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w:t>
                  </w:r>
                  <w:r>
                    <w:rPr>
                      <w:rFonts w:ascii="楷体_GB2312" w:hAnsi="楷体" w:eastAsia="楷体_GB2312"/>
                      <w:color w:val="000000"/>
                      <w:sz w:val="24"/>
                    </w:rPr>
                    <w:t>.6</w:t>
                  </w:r>
                  <w:r>
                    <w:rPr>
                      <w:rFonts w:hint="eastAsia" w:ascii="楷体_GB2312" w:hAnsi="楷体" w:eastAsia="楷体_GB2312"/>
                      <w:color w:val="000000"/>
                      <w:sz w:val="24"/>
                    </w:rPr>
                    <w:t>万</w:t>
                  </w:r>
                </w:p>
              </w:tc>
              <w:tc>
                <w:tcPr>
                  <w:tcW w:w="90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77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w:t>
                  </w:r>
                  <w:r>
                    <w:rPr>
                      <w:rFonts w:ascii="楷体_GB2312" w:hAnsi="楷体" w:eastAsia="楷体_GB2312"/>
                      <w:color w:val="000000"/>
                      <w:sz w:val="24"/>
                    </w:rPr>
                    <w:t>4</w:t>
                  </w:r>
                </w:p>
              </w:tc>
              <w:tc>
                <w:tcPr>
                  <w:tcW w:w="240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《民事诉讼法》修改应当关注作为证据的当事人</w:t>
                  </w:r>
                </w:p>
              </w:tc>
              <w:tc>
                <w:tcPr>
                  <w:tcW w:w="155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《西南政法大学学报》</w:t>
                  </w:r>
                </w:p>
              </w:tc>
              <w:tc>
                <w:tcPr>
                  <w:tcW w:w="127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2012年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第3期</w:t>
                  </w:r>
                </w:p>
              </w:tc>
              <w:tc>
                <w:tcPr>
                  <w:tcW w:w="847"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8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0.6万</w:t>
                  </w:r>
                </w:p>
              </w:tc>
              <w:tc>
                <w:tcPr>
                  <w:tcW w:w="90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77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w:t>
                  </w:r>
                  <w:r>
                    <w:rPr>
                      <w:rFonts w:ascii="楷体_GB2312" w:hAnsi="楷体" w:eastAsia="楷体_GB2312"/>
                      <w:color w:val="000000"/>
                      <w:sz w:val="24"/>
                    </w:rPr>
                    <w:t>5</w:t>
                  </w:r>
                </w:p>
              </w:tc>
              <w:tc>
                <w:tcPr>
                  <w:tcW w:w="240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德国独任法官制度改革与启示</w:t>
                  </w:r>
                </w:p>
              </w:tc>
              <w:tc>
                <w:tcPr>
                  <w:tcW w:w="155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《西南政法大学学报》</w:t>
                  </w:r>
                </w:p>
              </w:tc>
              <w:tc>
                <w:tcPr>
                  <w:tcW w:w="127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2016年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第1期</w:t>
                  </w:r>
                </w:p>
              </w:tc>
              <w:tc>
                <w:tcPr>
                  <w:tcW w:w="847"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合著</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排名第一</w:t>
                  </w:r>
                </w:p>
              </w:tc>
              <w:tc>
                <w:tcPr>
                  <w:tcW w:w="98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1.6万</w:t>
                  </w:r>
                </w:p>
              </w:tc>
              <w:tc>
                <w:tcPr>
                  <w:tcW w:w="90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7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w:t>
                  </w:r>
                  <w:r>
                    <w:rPr>
                      <w:rFonts w:ascii="楷体_GB2312" w:hAnsi="楷体" w:eastAsia="楷体_GB2312"/>
                      <w:color w:val="000000"/>
                      <w:sz w:val="24"/>
                    </w:rPr>
                    <w:t>6</w:t>
                  </w:r>
                </w:p>
              </w:tc>
              <w:tc>
                <w:tcPr>
                  <w:tcW w:w="240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要件事实理论——兼论民事法学教育</w:t>
                  </w:r>
                </w:p>
              </w:tc>
              <w:tc>
                <w:tcPr>
                  <w:tcW w:w="155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《西南交通大学学报》</w:t>
                  </w:r>
                </w:p>
              </w:tc>
              <w:tc>
                <w:tcPr>
                  <w:tcW w:w="127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2012年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第3期</w:t>
                  </w:r>
                </w:p>
              </w:tc>
              <w:tc>
                <w:tcPr>
                  <w:tcW w:w="847"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8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0.8万</w:t>
                  </w:r>
                </w:p>
              </w:tc>
              <w:tc>
                <w:tcPr>
                  <w:tcW w:w="90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77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w:t>
                  </w:r>
                  <w:r>
                    <w:rPr>
                      <w:rFonts w:ascii="楷体_GB2312" w:hAnsi="楷体" w:eastAsia="楷体_GB2312"/>
                      <w:color w:val="000000"/>
                      <w:sz w:val="24"/>
                    </w:rPr>
                    <w:t>7</w:t>
                  </w:r>
                </w:p>
              </w:tc>
              <w:tc>
                <w:tcPr>
                  <w:tcW w:w="240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要件事实理论下的攻击防御体系——兼论民事法学教育</w:t>
                  </w:r>
                </w:p>
              </w:tc>
              <w:tc>
                <w:tcPr>
                  <w:tcW w:w="155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《河南财经政法大学学报》</w:t>
                  </w:r>
                </w:p>
              </w:tc>
              <w:tc>
                <w:tcPr>
                  <w:tcW w:w="127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2012年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第4期</w:t>
                  </w:r>
                </w:p>
              </w:tc>
              <w:tc>
                <w:tcPr>
                  <w:tcW w:w="847"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8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0.9万</w:t>
                  </w:r>
                </w:p>
              </w:tc>
              <w:tc>
                <w:tcPr>
                  <w:tcW w:w="90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77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w:t>
                  </w:r>
                  <w:r>
                    <w:rPr>
                      <w:rFonts w:ascii="楷体_GB2312" w:hAnsi="楷体" w:eastAsia="楷体_GB2312"/>
                      <w:color w:val="000000"/>
                      <w:sz w:val="24"/>
                    </w:rPr>
                    <w:t>8</w:t>
                  </w:r>
                </w:p>
              </w:tc>
              <w:tc>
                <w:tcPr>
                  <w:tcW w:w="240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裁判逻辑与实定法秩序之维护——要件事实论纲</w:t>
                  </w:r>
                </w:p>
              </w:tc>
              <w:tc>
                <w:tcPr>
                  <w:tcW w:w="155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《西南政法大学学报》</w:t>
                  </w:r>
                </w:p>
              </w:tc>
              <w:tc>
                <w:tcPr>
                  <w:tcW w:w="127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2005年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第3期</w:t>
                  </w:r>
                </w:p>
              </w:tc>
              <w:tc>
                <w:tcPr>
                  <w:tcW w:w="847"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独著</w:t>
                  </w:r>
                </w:p>
              </w:tc>
              <w:tc>
                <w:tcPr>
                  <w:tcW w:w="98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1.1万</w:t>
                  </w:r>
                </w:p>
              </w:tc>
              <w:tc>
                <w:tcPr>
                  <w:tcW w:w="90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77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w:t>
                  </w:r>
                  <w:r>
                    <w:rPr>
                      <w:rFonts w:ascii="楷体_GB2312" w:hAnsi="楷体" w:eastAsia="楷体_GB2312"/>
                      <w:color w:val="000000"/>
                      <w:sz w:val="24"/>
                    </w:rPr>
                    <w:t>9</w:t>
                  </w:r>
                </w:p>
              </w:tc>
              <w:tc>
                <w:tcPr>
                  <w:tcW w:w="2400"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证明标准再探——最高人民法院证据规则73条质疑</w:t>
                  </w:r>
                </w:p>
              </w:tc>
              <w:tc>
                <w:tcPr>
                  <w:tcW w:w="155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《河北法学》</w:t>
                  </w:r>
                </w:p>
              </w:tc>
              <w:tc>
                <w:tcPr>
                  <w:tcW w:w="127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2006年</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第8期</w:t>
                  </w:r>
                </w:p>
              </w:tc>
              <w:tc>
                <w:tcPr>
                  <w:tcW w:w="847"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合著</w:t>
                  </w:r>
                </w:p>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排名第二</w:t>
                  </w:r>
                </w:p>
              </w:tc>
              <w:tc>
                <w:tcPr>
                  <w:tcW w:w="989"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0.8万</w:t>
                  </w:r>
                </w:p>
              </w:tc>
              <w:tc>
                <w:tcPr>
                  <w:tcW w:w="901"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7</w:t>
                  </w:r>
                </w:p>
              </w:tc>
            </w:tr>
          </w:tbl>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spacing w:before="312" w:beforeLines="100"/>
              <w:ind w:firstLine="562" w:firstLineChars="200"/>
              <w:jc w:val="left"/>
              <w:rPr>
                <w:rFonts w:ascii="楷体_GB2312" w:hAnsi="楷体" w:eastAsia="楷体_GB2312"/>
                <w:b/>
                <w:color w:val="000000"/>
                <w:sz w:val="28"/>
              </w:rPr>
            </w:pPr>
            <w:r>
              <w:rPr>
                <w:rFonts w:hint="eastAsia" w:ascii="楷体_GB2312" w:hAnsi="楷体" w:eastAsia="楷体_GB2312"/>
                <w:b/>
                <w:color w:val="000000"/>
                <w:sz w:val="28"/>
              </w:rPr>
              <w:t>（三）其他著作</w:t>
            </w:r>
          </w:p>
          <w:p>
            <w:pPr>
              <w:tabs>
                <w:tab w:val="left" w:pos="4185"/>
              </w:tabs>
              <w:snapToGrid w:val="0"/>
              <w:jc w:val="left"/>
              <w:rPr>
                <w:rFonts w:ascii="楷体_GB2312" w:hAnsi="楷体" w:eastAsia="楷体_GB2312"/>
                <w:b/>
                <w:color w:val="000000"/>
                <w:sz w:val="2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2693"/>
              <w:gridCol w:w="1276"/>
              <w:gridCol w:w="1276"/>
              <w:gridCol w:w="1417"/>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82"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序号</w:t>
                  </w:r>
                </w:p>
              </w:tc>
              <w:tc>
                <w:tcPr>
                  <w:tcW w:w="782"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著作名称</w:t>
                  </w:r>
                </w:p>
              </w:tc>
              <w:tc>
                <w:tcPr>
                  <w:tcW w:w="782"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出版社</w:t>
                  </w:r>
                </w:p>
              </w:tc>
              <w:tc>
                <w:tcPr>
                  <w:tcW w:w="782"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出版时间</w:t>
                  </w:r>
                </w:p>
              </w:tc>
              <w:tc>
                <w:tcPr>
                  <w:tcW w:w="782"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署名方式</w:t>
                  </w:r>
                </w:p>
              </w:tc>
              <w:tc>
                <w:tcPr>
                  <w:tcW w:w="782" w:type="dxa"/>
                  <w:shd w:val="clear" w:color="auto" w:fill="auto"/>
                  <w:vAlign w:val="center"/>
                </w:tcPr>
                <w:p>
                  <w:pPr>
                    <w:tabs>
                      <w:tab w:val="left" w:pos="4185"/>
                    </w:tabs>
                    <w:snapToGrid w:val="0"/>
                    <w:jc w:val="center"/>
                    <w:rPr>
                      <w:rFonts w:ascii="楷体_GB2312" w:hAnsi="楷体" w:eastAsia="楷体_GB2312"/>
                      <w:b/>
                      <w:color w:val="000000"/>
                      <w:sz w:val="24"/>
                    </w:rPr>
                  </w:pPr>
                  <w:r>
                    <w:rPr>
                      <w:rFonts w:hint="eastAsia" w:ascii="楷体_GB2312" w:hAnsi="楷体" w:eastAsia="楷体_GB2312"/>
                      <w:b/>
                      <w:color w:val="000000"/>
                      <w:sz w:val="24"/>
                    </w:rPr>
                    <w:t>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78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1</w:t>
                  </w:r>
                </w:p>
              </w:tc>
              <w:tc>
                <w:tcPr>
                  <w:tcW w:w="26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要件事实理论视角下民事案件证明责任分配实证分析</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厦门大学出版社</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2014年</w:t>
                  </w:r>
                </w:p>
              </w:tc>
              <w:tc>
                <w:tcPr>
                  <w:tcW w:w="1417"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主编</w:t>
                  </w:r>
                </w:p>
              </w:tc>
              <w:tc>
                <w:tcPr>
                  <w:tcW w:w="132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27.3万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8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w:t>
                  </w:r>
                </w:p>
              </w:tc>
              <w:tc>
                <w:tcPr>
                  <w:tcW w:w="26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诉讼法学方法论——中村民事诉讼理论精要</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中国法制出版社</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2009年</w:t>
                  </w:r>
                </w:p>
              </w:tc>
              <w:tc>
                <w:tcPr>
                  <w:tcW w:w="1417"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合译</w:t>
                  </w:r>
                </w:p>
              </w:tc>
              <w:tc>
                <w:tcPr>
                  <w:tcW w:w="132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21.</w:t>
                  </w:r>
                  <w:r>
                    <w:rPr>
                      <w:rFonts w:ascii="楷体_GB2312" w:hAnsi="楷体" w:eastAsia="楷体_GB2312"/>
                      <w:color w:val="000000"/>
                      <w:sz w:val="24"/>
                    </w:rPr>
                    <w:t>5</w:t>
                  </w:r>
                  <w:r>
                    <w:rPr>
                      <w:rFonts w:hint="eastAsia" w:ascii="楷体_GB2312" w:hAnsi="楷体" w:eastAsia="楷体_GB2312"/>
                      <w:color w:val="000000"/>
                      <w:sz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8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w:t>
                  </w:r>
                </w:p>
              </w:tc>
              <w:tc>
                <w:tcPr>
                  <w:tcW w:w="26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自律型社会与正义的综合体系</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中国法制出版社</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2006年</w:t>
                  </w:r>
                </w:p>
              </w:tc>
              <w:tc>
                <w:tcPr>
                  <w:tcW w:w="1417"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合译</w:t>
                  </w:r>
                </w:p>
              </w:tc>
              <w:tc>
                <w:tcPr>
                  <w:tcW w:w="132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w:t>
                  </w:r>
                  <w:r>
                    <w:rPr>
                      <w:rFonts w:ascii="楷体_GB2312" w:hAnsi="楷体" w:eastAsia="楷体_GB2312"/>
                      <w:color w:val="000000"/>
                      <w:sz w:val="24"/>
                    </w:rPr>
                    <w:t>3.4</w:t>
                  </w:r>
                  <w:r>
                    <w:rPr>
                      <w:rFonts w:hint="eastAsia" w:ascii="楷体_GB2312" w:hAnsi="楷体" w:eastAsia="楷体_GB2312"/>
                      <w:color w:val="000000"/>
                      <w:sz w:val="24"/>
                    </w:rPr>
                    <w:t>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8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w:t>
                  </w:r>
                </w:p>
              </w:tc>
              <w:tc>
                <w:tcPr>
                  <w:tcW w:w="26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民事诉讼体制比较研究</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中国检察出版社</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2008年</w:t>
                  </w:r>
                </w:p>
              </w:tc>
              <w:tc>
                <w:tcPr>
                  <w:tcW w:w="1417"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合著</w:t>
                  </w:r>
                </w:p>
              </w:tc>
              <w:tc>
                <w:tcPr>
                  <w:tcW w:w="132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45.8万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8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5</w:t>
                  </w:r>
                </w:p>
              </w:tc>
              <w:tc>
                <w:tcPr>
                  <w:tcW w:w="26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典型婚姻家庭案件诉讼证据运用</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中国检察出版社</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2004年</w:t>
                  </w:r>
                </w:p>
              </w:tc>
              <w:tc>
                <w:tcPr>
                  <w:tcW w:w="1417"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合著</w:t>
                  </w:r>
                </w:p>
              </w:tc>
              <w:tc>
                <w:tcPr>
                  <w:tcW w:w="132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38.9万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84"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6</w:t>
                  </w:r>
                </w:p>
              </w:tc>
              <w:tc>
                <w:tcPr>
                  <w:tcW w:w="269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侵权损害赔偿典型案件诉讼证据运用</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广东人民出版社</w:t>
                  </w:r>
                </w:p>
              </w:tc>
              <w:tc>
                <w:tcPr>
                  <w:tcW w:w="1276"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2002年</w:t>
                  </w:r>
                </w:p>
              </w:tc>
              <w:tc>
                <w:tcPr>
                  <w:tcW w:w="1417"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合著</w:t>
                  </w:r>
                </w:p>
              </w:tc>
              <w:tc>
                <w:tcPr>
                  <w:tcW w:w="1323" w:type="dxa"/>
                  <w:shd w:val="clear" w:color="auto" w:fill="auto"/>
                  <w:vAlign w:val="center"/>
                </w:tcPr>
                <w:p>
                  <w:pPr>
                    <w:tabs>
                      <w:tab w:val="left" w:pos="4185"/>
                    </w:tabs>
                    <w:snapToGrid w:val="0"/>
                    <w:jc w:val="center"/>
                    <w:rPr>
                      <w:rFonts w:ascii="楷体_GB2312" w:hAnsi="楷体" w:eastAsia="楷体_GB2312"/>
                      <w:color w:val="000000"/>
                      <w:sz w:val="24"/>
                    </w:rPr>
                  </w:pPr>
                  <w:r>
                    <w:rPr>
                      <w:rFonts w:hint="eastAsia" w:ascii="楷体_GB2312" w:hAnsi="楷体" w:eastAsia="楷体_GB2312"/>
                      <w:color w:val="000000"/>
                      <w:sz w:val="24"/>
                    </w:rPr>
                    <w:t>45.9万</w:t>
                  </w:r>
                </w:p>
              </w:tc>
            </w:tr>
          </w:tbl>
          <w:p>
            <w:pPr>
              <w:tabs>
                <w:tab w:val="left" w:pos="4185"/>
              </w:tabs>
              <w:snapToGrid w:val="0"/>
              <w:jc w:val="left"/>
              <w:rPr>
                <w:rFonts w:ascii="楷体_GB2312" w:hAnsi="楷体" w:eastAsia="楷体_GB2312"/>
                <w:b/>
                <w:color w:val="000000"/>
                <w:sz w:val="24"/>
              </w:rPr>
            </w:pPr>
            <w:r>
              <w:rPr>
                <w:rFonts w:hint="eastAsia" w:ascii="楷体_GB2312" w:hAnsi="楷体" w:eastAsia="楷体_GB2312"/>
                <w:b/>
                <w:color w:val="000000"/>
                <w:sz w:val="24"/>
              </w:rPr>
              <w:t xml:space="preserve"> </w:t>
            </w:r>
            <w:r>
              <w:rPr>
                <w:rFonts w:ascii="楷体_GB2312" w:hAnsi="楷体" w:eastAsia="楷体_GB2312"/>
                <w:b/>
                <w:color w:val="000000"/>
                <w:sz w:val="24"/>
              </w:rPr>
              <w:t xml:space="preserve">  </w:t>
            </w: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p>
            <w:pPr>
              <w:tabs>
                <w:tab w:val="left" w:pos="4185"/>
              </w:tabs>
              <w:snapToGrid w:val="0"/>
              <w:jc w:val="center"/>
              <w:rPr>
                <w:rFonts w:ascii="楷体_GB2312" w:hAnsi="楷体"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3" w:hRule="atLeast"/>
        </w:trPr>
        <w:tc>
          <w:tcPr>
            <w:tcW w:w="9000" w:type="dxa"/>
            <w:gridSpan w:val="5"/>
            <w:tcBorders>
              <w:top w:val="single" w:color="auto" w:sz="4" w:space="0"/>
              <w:bottom w:val="single" w:color="000000" w:sz="4" w:space="0"/>
            </w:tcBorders>
          </w:tcPr>
          <w:p>
            <w:pPr>
              <w:tabs>
                <w:tab w:val="left" w:pos="4185"/>
              </w:tabs>
              <w:snapToGrid w:val="0"/>
              <w:spacing w:before="156" w:beforeLines="50"/>
              <w:jc w:val="center"/>
              <w:rPr>
                <w:rFonts w:cs="Arial"/>
                <w:b/>
                <w:kern w:val="0"/>
                <w:sz w:val="30"/>
                <w:szCs w:val="30"/>
              </w:rPr>
            </w:pPr>
            <w:r>
              <w:rPr>
                <w:rFonts w:cs="Arial"/>
                <w:b/>
                <w:kern w:val="0"/>
                <w:sz w:val="30"/>
                <w:szCs w:val="30"/>
              </w:rPr>
              <w:t>获得奖项</w:t>
            </w:r>
            <w:r>
              <w:rPr>
                <w:rFonts w:hint="eastAsia" w:cs="Arial"/>
                <w:b/>
                <w:kern w:val="0"/>
                <w:sz w:val="30"/>
                <w:szCs w:val="30"/>
              </w:rPr>
              <w:t>和表彰</w:t>
            </w:r>
          </w:p>
          <w:p>
            <w:pPr>
              <w:tabs>
                <w:tab w:val="left" w:pos="4185"/>
              </w:tabs>
              <w:snapToGrid w:val="0"/>
              <w:jc w:val="center"/>
              <w:rPr>
                <w:rFonts w:ascii="楷体" w:hAnsi="楷体" w:eastAsia="楷体" w:cs="Arial"/>
                <w:b/>
                <w:kern w:val="0"/>
                <w:sz w:val="24"/>
              </w:rPr>
            </w:pPr>
            <w:r>
              <w:rPr>
                <w:rFonts w:hint="eastAsia" w:ascii="楷体" w:hAnsi="楷体" w:eastAsia="楷体" w:cs="Arial"/>
                <w:b/>
                <w:kern w:val="0"/>
                <w:sz w:val="24"/>
              </w:rPr>
              <w:t>（请注明获得时间及等级）</w:t>
            </w:r>
          </w:p>
          <w:p>
            <w:pPr>
              <w:tabs>
                <w:tab w:val="left" w:pos="4185"/>
              </w:tabs>
              <w:snapToGrid w:val="0"/>
              <w:spacing w:before="93" w:beforeLines="30"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1.</w:t>
            </w:r>
            <w:r>
              <w:rPr>
                <w:rFonts w:hint="eastAsia" w:ascii="楷体_GB2312" w:hAnsi="楷体" w:eastAsia="楷体_GB2312"/>
                <w:color w:val="000000"/>
                <w:sz w:val="24"/>
              </w:rPr>
              <w:t>2021年入选教育部长江学者奖励计划青年学者（2</w:t>
            </w:r>
            <w:r>
              <w:rPr>
                <w:rFonts w:ascii="楷体_GB2312" w:hAnsi="楷体" w:eastAsia="楷体_GB2312"/>
                <w:color w:val="000000"/>
                <w:sz w:val="24"/>
              </w:rPr>
              <w:t>020</w:t>
            </w:r>
            <w:r>
              <w:rPr>
                <w:rFonts w:hint="eastAsia" w:ascii="楷体_GB2312" w:hAnsi="楷体" w:eastAsia="楷体_GB2312"/>
                <w:color w:val="000000"/>
                <w:sz w:val="24"/>
              </w:rPr>
              <w:t>年度），国家级人才称号；</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2.</w:t>
            </w:r>
            <w:r>
              <w:rPr>
                <w:rFonts w:hint="eastAsia" w:ascii="楷体_GB2312" w:hAnsi="楷体" w:eastAsia="楷体_GB2312"/>
                <w:color w:val="000000"/>
                <w:sz w:val="24"/>
              </w:rPr>
              <w:t>2020年“民事诉讼法学”获国家级本科线上一流课程称号，国家级课程；</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3.</w:t>
            </w:r>
            <w:r>
              <w:rPr>
                <w:rFonts w:hint="eastAsia" w:ascii="楷体_GB2312" w:hAnsi="楷体" w:eastAsia="楷体_GB2312"/>
                <w:color w:val="000000"/>
                <w:sz w:val="24"/>
              </w:rPr>
              <w:t>2020年获重庆市英才计划·创新领军人才称号，省部级人才称号；</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4.</w:t>
            </w:r>
            <w:r>
              <w:rPr>
                <w:rFonts w:hint="eastAsia" w:ascii="楷体_GB2312" w:hAnsi="楷体" w:eastAsia="楷体_GB2312"/>
                <w:color w:val="000000"/>
                <w:sz w:val="24"/>
              </w:rPr>
              <w:t>2020年获重庆市巴渝学者特聘教授称号，省部级人才称号；</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5.</w:t>
            </w:r>
            <w:r>
              <w:rPr>
                <w:rFonts w:hint="eastAsia" w:ascii="楷体_GB2312" w:hAnsi="楷体" w:eastAsia="楷体_GB2312"/>
                <w:color w:val="000000"/>
                <w:sz w:val="24"/>
              </w:rPr>
              <w:t>2021年获重庆市青年专家工作室领衔专家称号，省部级人才称号；</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6.</w:t>
            </w:r>
            <w:r>
              <w:rPr>
                <w:rFonts w:hint="eastAsia" w:ascii="楷体_GB2312" w:hAnsi="楷体" w:eastAsia="楷体_GB2312"/>
                <w:color w:val="000000"/>
                <w:sz w:val="24"/>
              </w:rPr>
              <w:t>2019年获第三批重庆市学术技术带头人后备人选称号，省部级人才称号；</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7.</w:t>
            </w:r>
            <w:r>
              <w:rPr>
                <w:rFonts w:hint="eastAsia" w:ascii="楷体_GB2312" w:hAnsi="楷体" w:eastAsia="楷体_GB2312"/>
                <w:color w:val="000000"/>
                <w:sz w:val="24"/>
              </w:rPr>
              <w:t>2</w:t>
            </w:r>
            <w:r>
              <w:rPr>
                <w:rFonts w:ascii="楷体_GB2312" w:hAnsi="楷体" w:eastAsia="楷体_GB2312"/>
                <w:color w:val="000000"/>
                <w:sz w:val="24"/>
              </w:rPr>
              <w:t>020</w:t>
            </w:r>
            <w:r>
              <w:rPr>
                <w:rFonts w:hint="eastAsia" w:ascii="楷体_GB2312" w:hAnsi="楷体" w:eastAsia="楷体_GB2312"/>
                <w:color w:val="000000"/>
                <w:sz w:val="24"/>
              </w:rPr>
              <w:t>年获重庆市第十次社会科学奖二等奖（“起诉条件前置审理论”），省部级奖项；</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8</w:t>
            </w:r>
            <w:r>
              <w:rPr>
                <w:rFonts w:hint="eastAsia" w:ascii="楷体_GB2312" w:hAnsi="楷体" w:eastAsia="楷体_GB2312"/>
                <w:color w:val="000000"/>
                <w:sz w:val="24"/>
              </w:rPr>
              <w:t>.2018年获中国政法大学第七届钱端升法学研究成果奖三等奖（“我国民事庭审阶段化构造再认识”），省部级奖项；</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9</w:t>
            </w:r>
            <w:r>
              <w:rPr>
                <w:rFonts w:hint="eastAsia" w:ascii="楷体_GB2312" w:hAnsi="楷体" w:eastAsia="楷体_GB2312"/>
                <w:color w:val="000000"/>
                <w:sz w:val="24"/>
              </w:rPr>
              <w:t>.2018年获中国法学会第六届董必武青年法学成果奖三等奖（“起诉条件前置审理论”），省部级奖项；</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10</w:t>
            </w:r>
            <w:r>
              <w:rPr>
                <w:rFonts w:hint="eastAsia" w:ascii="楷体_GB2312" w:hAnsi="楷体" w:eastAsia="楷体_GB2312"/>
                <w:color w:val="000000"/>
                <w:sz w:val="24"/>
              </w:rPr>
              <w:t>.2016年获中国法学会第四届董必武青年法学成果奖提名奖（“我国民事庭审阶段化构造再认识”），省部级奖项；</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11</w:t>
            </w:r>
            <w:r>
              <w:rPr>
                <w:rFonts w:hint="eastAsia" w:ascii="楷体_GB2312" w:hAnsi="楷体" w:eastAsia="楷体_GB2312"/>
                <w:color w:val="000000"/>
                <w:sz w:val="24"/>
              </w:rPr>
              <w:t>.2015年获中国法学会第四届中青年民事诉讼法学优秀科研成果专著类二等奖（《规范出发型民事判决构造论》），省部级奖项；</w:t>
            </w:r>
          </w:p>
          <w:p>
            <w:pPr>
              <w:tabs>
                <w:tab w:val="left" w:pos="4185"/>
              </w:tabs>
              <w:snapToGrid w:val="0"/>
              <w:spacing w:line="293" w:lineRule="auto"/>
              <w:ind w:firstLine="480" w:firstLineChars="200"/>
              <w:jc w:val="left"/>
              <w:rPr>
                <w:rFonts w:ascii="楷体_GB2312" w:hAnsi="楷体" w:eastAsia="楷体_GB2312"/>
                <w:color w:val="000000"/>
                <w:sz w:val="24"/>
              </w:rPr>
            </w:pPr>
            <w:r>
              <w:rPr>
                <w:rFonts w:hint="eastAsia" w:ascii="楷体_GB2312" w:hAnsi="楷体" w:eastAsia="楷体_GB2312"/>
                <w:color w:val="000000"/>
                <w:sz w:val="24"/>
              </w:rPr>
              <w:t>1</w:t>
            </w:r>
            <w:r>
              <w:rPr>
                <w:rFonts w:ascii="楷体_GB2312" w:hAnsi="楷体" w:eastAsia="楷体_GB2312"/>
                <w:color w:val="000000"/>
                <w:sz w:val="24"/>
              </w:rPr>
              <w:t>2.2022</w:t>
            </w:r>
            <w:r>
              <w:rPr>
                <w:rFonts w:hint="eastAsia" w:ascii="楷体_GB2312" w:hAnsi="楷体" w:eastAsia="楷体_GB2312"/>
                <w:color w:val="000000"/>
                <w:sz w:val="24"/>
              </w:rPr>
              <w:t>年获重庆市法学会优秀成果奖（《民事程序构造研究》），省级奖项；</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13</w:t>
            </w:r>
            <w:r>
              <w:rPr>
                <w:rFonts w:hint="eastAsia" w:ascii="楷体_GB2312" w:hAnsi="楷体" w:eastAsia="楷体_GB2312"/>
                <w:color w:val="000000"/>
                <w:sz w:val="24"/>
              </w:rPr>
              <w:t>.2018年获第八批重庆市高校中青年骨干教师称号，省级奖励；</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14.</w:t>
            </w:r>
            <w:r>
              <w:rPr>
                <w:rFonts w:hint="eastAsia" w:ascii="楷体_GB2312" w:hAnsi="楷体" w:eastAsia="楷体_GB2312"/>
                <w:color w:val="000000"/>
                <w:sz w:val="24"/>
              </w:rPr>
              <w:t>2021年“民事诉讼法学”获得重庆市高校线上线下混合式一流本科课程称号，省部级课程；</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15.</w:t>
            </w:r>
            <w:r>
              <w:rPr>
                <w:rFonts w:hint="eastAsia" w:ascii="楷体_GB2312" w:hAnsi="楷体" w:eastAsia="楷体_GB2312"/>
                <w:color w:val="000000"/>
                <w:sz w:val="24"/>
              </w:rPr>
              <w:t>2</w:t>
            </w:r>
            <w:r>
              <w:rPr>
                <w:rFonts w:ascii="楷体_GB2312" w:hAnsi="楷体" w:eastAsia="楷体_GB2312"/>
                <w:color w:val="000000"/>
                <w:sz w:val="24"/>
              </w:rPr>
              <w:t>019</w:t>
            </w:r>
            <w:r>
              <w:rPr>
                <w:rFonts w:hint="eastAsia" w:ascii="楷体_GB2312" w:hAnsi="楷体" w:eastAsia="楷体_GB2312"/>
                <w:color w:val="000000"/>
                <w:sz w:val="24"/>
              </w:rPr>
              <w:t>年“民事诉讼法学”获重庆市高校精品在线开放课程称号，省部级课程；</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16.</w:t>
            </w:r>
            <w:r>
              <w:rPr>
                <w:rFonts w:hint="eastAsia" w:ascii="楷体_GB2312" w:hAnsi="楷体" w:eastAsia="楷体_GB2312"/>
                <w:color w:val="000000"/>
                <w:sz w:val="24"/>
              </w:rPr>
              <w:t>“《民事诉讼法学》线上线下混合式教学创新模式”获2019年度重庆市高校在线课程建设与应用优秀示范案例，省级奖励；</w:t>
            </w:r>
          </w:p>
          <w:p>
            <w:pPr>
              <w:tabs>
                <w:tab w:val="left" w:pos="4185"/>
              </w:tabs>
              <w:snapToGrid w:val="0"/>
              <w:spacing w:line="293" w:lineRule="auto"/>
              <w:ind w:firstLine="480" w:firstLineChars="200"/>
              <w:jc w:val="left"/>
              <w:rPr>
                <w:rFonts w:eastAsia="楷体_GB2312" w:asciiTheme="minorHAnsi" w:hAnsiTheme="minorHAnsi"/>
                <w:color w:val="000000"/>
                <w:sz w:val="24"/>
              </w:rPr>
            </w:pPr>
            <w:r>
              <w:rPr>
                <w:rFonts w:hint="eastAsia" w:ascii="楷体_GB2312" w:hAnsi="楷体" w:eastAsia="楷体_GB2312"/>
                <w:color w:val="000000"/>
                <w:sz w:val="24"/>
              </w:rPr>
              <w:t>1</w:t>
            </w:r>
            <w:r>
              <w:rPr>
                <w:rFonts w:ascii="楷体_GB2312" w:hAnsi="楷体" w:eastAsia="楷体_GB2312"/>
                <w:color w:val="000000"/>
                <w:sz w:val="24"/>
              </w:rPr>
              <w:t>7.</w:t>
            </w:r>
            <w:r>
              <w:rPr>
                <w:rFonts w:hint="eastAsia" w:eastAsia="楷体_GB2312" w:asciiTheme="minorHAnsi" w:hAnsiTheme="minorHAnsi"/>
                <w:color w:val="000000"/>
                <w:sz w:val="24"/>
              </w:rPr>
              <w:t>“线上线下教学相长，课程思政隐性育人——《民事诉讼法学》混合式教学模式创新”获2</w:t>
            </w:r>
            <w:r>
              <w:rPr>
                <w:rFonts w:eastAsia="楷体_GB2312" w:asciiTheme="minorHAnsi" w:hAnsiTheme="minorHAnsi"/>
                <w:color w:val="000000"/>
                <w:sz w:val="24"/>
              </w:rPr>
              <w:t>022</w:t>
            </w:r>
            <w:r>
              <w:rPr>
                <w:rFonts w:hint="eastAsia" w:eastAsia="楷体_GB2312" w:asciiTheme="minorHAnsi" w:hAnsiTheme="minorHAnsi"/>
                <w:color w:val="000000"/>
                <w:sz w:val="24"/>
              </w:rPr>
              <w:t>年重庆市高校一流本科课程示范案例，省级奖励；</w:t>
            </w:r>
          </w:p>
          <w:p>
            <w:pPr>
              <w:tabs>
                <w:tab w:val="left" w:pos="4185"/>
              </w:tabs>
              <w:snapToGrid w:val="0"/>
              <w:spacing w:line="293" w:lineRule="auto"/>
              <w:ind w:firstLine="480" w:firstLineChars="200"/>
              <w:jc w:val="left"/>
              <w:rPr>
                <w:rFonts w:ascii="楷体_GB2312" w:hAnsi="楷体" w:eastAsia="楷体_GB2312"/>
                <w:color w:val="000000"/>
                <w:sz w:val="24"/>
              </w:rPr>
            </w:pPr>
            <w:r>
              <w:rPr>
                <w:rFonts w:hint="eastAsia" w:ascii="楷体_GB2312" w:hAnsi="楷体" w:eastAsia="楷体_GB2312"/>
                <w:color w:val="000000"/>
                <w:sz w:val="24"/>
              </w:rPr>
              <w:t>1</w:t>
            </w:r>
            <w:r>
              <w:rPr>
                <w:rFonts w:ascii="楷体_GB2312" w:hAnsi="楷体" w:eastAsia="楷体_GB2312"/>
                <w:color w:val="000000"/>
                <w:sz w:val="24"/>
              </w:rPr>
              <w:t>8.</w:t>
            </w:r>
            <w:r>
              <w:rPr>
                <w:rFonts w:hint="eastAsia" w:ascii="楷体_GB2312" w:hAnsi="楷体" w:eastAsia="楷体_GB2312"/>
                <w:color w:val="000000"/>
                <w:sz w:val="24"/>
              </w:rPr>
              <w:t>“多维一体式法学研究生课程体系创新与探索”获重庆市研究生教育教学改革研究优秀成果奖，省级奖励；</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19.</w:t>
            </w:r>
            <w:r>
              <w:rPr>
                <w:rFonts w:hint="eastAsia" w:ascii="楷体_GB2312" w:hAnsi="楷体" w:eastAsia="楷体_GB2312"/>
                <w:color w:val="000000"/>
                <w:sz w:val="24"/>
              </w:rPr>
              <w:t>“新文科下多维融通型法学研究生教学模式的建构与实践”获重庆市学位与研究生教育学会研究生教育教学改革研究优秀成果奖一等奖，省级奖励；</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20</w:t>
            </w:r>
            <w:r>
              <w:rPr>
                <w:rFonts w:hint="eastAsia" w:ascii="楷体_GB2312" w:hAnsi="楷体" w:eastAsia="楷体_GB2312"/>
                <w:color w:val="000000"/>
                <w:sz w:val="24"/>
              </w:rPr>
              <w:t>.2013年获重庆市法学会第二届重庆十大青年法学专家提名奖，省级奖励；</w:t>
            </w:r>
          </w:p>
          <w:p>
            <w:pPr>
              <w:tabs>
                <w:tab w:val="left" w:pos="4185"/>
              </w:tabs>
              <w:snapToGrid w:val="0"/>
              <w:spacing w:line="293" w:lineRule="auto"/>
              <w:ind w:firstLine="480" w:firstLineChars="200"/>
              <w:jc w:val="left"/>
              <w:rPr>
                <w:rFonts w:eastAsia="楷体_GB2312" w:asciiTheme="minorHAnsi" w:hAnsiTheme="minorHAnsi"/>
                <w:color w:val="000000"/>
                <w:sz w:val="24"/>
              </w:rPr>
            </w:pPr>
            <w:r>
              <w:rPr>
                <w:rFonts w:ascii="楷体_GB2312" w:hAnsi="楷体" w:eastAsia="楷体_GB2312"/>
                <w:color w:val="000000"/>
                <w:sz w:val="24"/>
              </w:rPr>
              <w:t>21.</w:t>
            </w:r>
            <w:r>
              <w:rPr>
                <w:rFonts w:hint="eastAsia" w:eastAsia="楷体_GB2312" w:asciiTheme="minorHAnsi" w:hAnsiTheme="minorHAnsi"/>
                <w:color w:val="000000"/>
                <w:sz w:val="24"/>
              </w:rPr>
              <w:t>“迈向新文科的法学在线开放课程教学模式与平台建设”获西南政法大学教学成果三等奖，校级奖励；</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22.</w:t>
            </w:r>
            <w:r>
              <w:rPr>
                <w:rFonts w:hint="eastAsia" w:ascii="楷体_GB2312" w:hAnsi="楷体" w:eastAsia="楷体_GB2312"/>
                <w:color w:val="000000"/>
                <w:sz w:val="24"/>
              </w:rPr>
              <w:t>2</w:t>
            </w:r>
            <w:r>
              <w:rPr>
                <w:rFonts w:ascii="楷体_GB2312" w:hAnsi="楷体" w:eastAsia="楷体_GB2312"/>
                <w:color w:val="000000"/>
                <w:sz w:val="24"/>
              </w:rPr>
              <w:t>019</w:t>
            </w:r>
            <w:r>
              <w:rPr>
                <w:rFonts w:hint="eastAsia" w:ascii="楷体_GB2312" w:hAnsi="楷体" w:eastAsia="楷体_GB2312"/>
                <w:color w:val="000000"/>
                <w:sz w:val="24"/>
              </w:rPr>
              <w:t>年度、2</w:t>
            </w:r>
            <w:r>
              <w:rPr>
                <w:rFonts w:ascii="楷体_GB2312" w:hAnsi="楷体" w:eastAsia="楷体_GB2312"/>
                <w:color w:val="000000"/>
                <w:sz w:val="24"/>
              </w:rPr>
              <w:t>022</w:t>
            </w:r>
            <w:r>
              <w:rPr>
                <w:rFonts w:hint="eastAsia" w:ascii="楷体_GB2312" w:hAnsi="楷体" w:eastAsia="楷体_GB2312"/>
                <w:color w:val="000000"/>
                <w:sz w:val="24"/>
              </w:rPr>
              <w:t>年度获西政好老师，校级奖励；</w:t>
            </w:r>
          </w:p>
          <w:p>
            <w:pPr>
              <w:tabs>
                <w:tab w:val="left" w:pos="4185"/>
              </w:tabs>
              <w:snapToGrid w:val="0"/>
              <w:spacing w:line="293" w:lineRule="auto"/>
              <w:ind w:firstLine="480" w:firstLineChars="200"/>
              <w:jc w:val="left"/>
              <w:rPr>
                <w:rFonts w:ascii="楷体_GB2312" w:hAnsi="楷体" w:eastAsia="楷体_GB2312"/>
                <w:color w:val="000000"/>
                <w:sz w:val="24"/>
              </w:rPr>
            </w:pPr>
            <w:r>
              <w:rPr>
                <w:rFonts w:ascii="楷体_GB2312" w:hAnsi="楷体" w:eastAsia="楷体_GB2312"/>
                <w:color w:val="000000"/>
                <w:sz w:val="24"/>
              </w:rPr>
              <w:t>23.</w:t>
            </w:r>
            <w:r>
              <w:rPr>
                <w:rFonts w:hint="eastAsia" w:ascii="楷体_GB2312" w:hAnsi="楷体" w:eastAsia="楷体_GB2312"/>
                <w:color w:val="000000"/>
                <w:sz w:val="24"/>
              </w:rPr>
              <w:t>2012年度、2</w:t>
            </w:r>
            <w:r>
              <w:rPr>
                <w:rFonts w:ascii="楷体_GB2312" w:hAnsi="楷体" w:eastAsia="楷体_GB2312"/>
                <w:color w:val="000000"/>
                <w:sz w:val="24"/>
              </w:rPr>
              <w:t>016</w:t>
            </w:r>
            <w:r>
              <w:rPr>
                <w:rFonts w:hint="eastAsia" w:ascii="楷体_GB2312" w:hAnsi="楷体" w:eastAsia="楷体_GB2312"/>
                <w:color w:val="000000"/>
                <w:sz w:val="24"/>
              </w:rPr>
              <w:t>年度获西南政法大学优秀教师，校级奖励。</w:t>
            </w:r>
          </w:p>
        </w:tc>
      </w:tr>
    </w:tbl>
    <w:p>
      <w:pPr>
        <w:spacing w:line="20" w:lineRule="exact"/>
      </w:pPr>
      <w:bookmarkStart w:id="0" w:name="_GoBack"/>
      <w:bookmarkEnd w:id="0"/>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1845477"/>
      <w:docPartObj>
        <w:docPartGallery w:val="autotext"/>
      </w:docPartObj>
    </w:sdtPr>
    <w:sdtContent>
      <w:p>
        <w:pPr>
          <w:pStyle w:val="5"/>
          <w:jc w:val="center"/>
          <w:rPr>
            <w:rFonts w:hint="eastAsia"/>
          </w:rPr>
        </w:pPr>
        <w:r>
          <w:fldChar w:fldCharType="begin"/>
        </w:r>
        <w:r>
          <w:instrText xml:space="preserve">PAGE   \* MERGEFORMAT</w:instrText>
        </w:r>
        <w:r>
          <w:fldChar w:fldCharType="separate"/>
        </w:r>
        <w:r>
          <w:rPr>
            <w:lang w:val="zh-CN"/>
          </w:rPr>
          <w:t>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7B24C2"/>
    <w:multiLevelType w:val="singleLevel"/>
    <w:tmpl w:val="CF7B24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xNWNjNDYyYTNmOTgxMGY2OWQ2MmJlMDMyM2M5ZmIifQ=="/>
  </w:docVars>
  <w:rsids>
    <w:rsidRoot w:val="AFFF087D"/>
    <w:rsid w:val="00004841"/>
    <w:rsid w:val="000176EF"/>
    <w:rsid w:val="000263A2"/>
    <w:rsid w:val="000450A9"/>
    <w:rsid w:val="00045505"/>
    <w:rsid w:val="000459C3"/>
    <w:rsid w:val="00051638"/>
    <w:rsid w:val="000569A2"/>
    <w:rsid w:val="00066DE5"/>
    <w:rsid w:val="0007367E"/>
    <w:rsid w:val="000A2C8B"/>
    <w:rsid w:val="000A3F9A"/>
    <w:rsid w:val="000B70EA"/>
    <w:rsid w:val="000F70FE"/>
    <w:rsid w:val="0010195D"/>
    <w:rsid w:val="00107B65"/>
    <w:rsid w:val="00130FDD"/>
    <w:rsid w:val="0014041C"/>
    <w:rsid w:val="00155D64"/>
    <w:rsid w:val="001A02EA"/>
    <w:rsid w:val="001B0469"/>
    <w:rsid w:val="001B15DF"/>
    <w:rsid w:val="001C0EE3"/>
    <w:rsid w:val="001E0829"/>
    <w:rsid w:val="00224C5C"/>
    <w:rsid w:val="002560C9"/>
    <w:rsid w:val="002707B6"/>
    <w:rsid w:val="0027545D"/>
    <w:rsid w:val="002A323B"/>
    <w:rsid w:val="002C32D9"/>
    <w:rsid w:val="002D39F0"/>
    <w:rsid w:val="002D5675"/>
    <w:rsid w:val="00303468"/>
    <w:rsid w:val="00330EBA"/>
    <w:rsid w:val="0036131E"/>
    <w:rsid w:val="003627E8"/>
    <w:rsid w:val="003652E6"/>
    <w:rsid w:val="003672D7"/>
    <w:rsid w:val="00390431"/>
    <w:rsid w:val="00392348"/>
    <w:rsid w:val="003A33AD"/>
    <w:rsid w:val="003B3215"/>
    <w:rsid w:val="003E1F84"/>
    <w:rsid w:val="00401FF0"/>
    <w:rsid w:val="00407D1B"/>
    <w:rsid w:val="00432D23"/>
    <w:rsid w:val="004539BA"/>
    <w:rsid w:val="00462635"/>
    <w:rsid w:val="00467CBA"/>
    <w:rsid w:val="0048024A"/>
    <w:rsid w:val="00496227"/>
    <w:rsid w:val="004C73A6"/>
    <w:rsid w:val="004D71F0"/>
    <w:rsid w:val="004E2188"/>
    <w:rsid w:val="004E31FD"/>
    <w:rsid w:val="004F1896"/>
    <w:rsid w:val="004F4989"/>
    <w:rsid w:val="0052358C"/>
    <w:rsid w:val="00530D39"/>
    <w:rsid w:val="0053668E"/>
    <w:rsid w:val="005474FB"/>
    <w:rsid w:val="00554991"/>
    <w:rsid w:val="0057330F"/>
    <w:rsid w:val="005A04DC"/>
    <w:rsid w:val="005B499D"/>
    <w:rsid w:val="00606A5F"/>
    <w:rsid w:val="006074B4"/>
    <w:rsid w:val="0061006C"/>
    <w:rsid w:val="0062368B"/>
    <w:rsid w:val="00634C19"/>
    <w:rsid w:val="00642542"/>
    <w:rsid w:val="00643145"/>
    <w:rsid w:val="00646203"/>
    <w:rsid w:val="00666094"/>
    <w:rsid w:val="006819F1"/>
    <w:rsid w:val="006B7B46"/>
    <w:rsid w:val="006C3324"/>
    <w:rsid w:val="006D19D8"/>
    <w:rsid w:val="006D428E"/>
    <w:rsid w:val="006D7970"/>
    <w:rsid w:val="006E3B10"/>
    <w:rsid w:val="00711EA0"/>
    <w:rsid w:val="00754943"/>
    <w:rsid w:val="007638BF"/>
    <w:rsid w:val="00776FC3"/>
    <w:rsid w:val="0079500A"/>
    <w:rsid w:val="007A5BC7"/>
    <w:rsid w:val="007A74DE"/>
    <w:rsid w:val="007C39A6"/>
    <w:rsid w:val="007D2F0B"/>
    <w:rsid w:val="00814160"/>
    <w:rsid w:val="00814329"/>
    <w:rsid w:val="008211C5"/>
    <w:rsid w:val="008373E2"/>
    <w:rsid w:val="00855EE0"/>
    <w:rsid w:val="0089045D"/>
    <w:rsid w:val="008B277E"/>
    <w:rsid w:val="008C17D1"/>
    <w:rsid w:val="008C5DF5"/>
    <w:rsid w:val="008E16A0"/>
    <w:rsid w:val="009127C2"/>
    <w:rsid w:val="00912F44"/>
    <w:rsid w:val="00915EE1"/>
    <w:rsid w:val="009578C1"/>
    <w:rsid w:val="009C11E5"/>
    <w:rsid w:val="00A02221"/>
    <w:rsid w:val="00A12362"/>
    <w:rsid w:val="00A21E38"/>
    <w:rsid w:val="00A25EC6"/>
    <w:rsid w:val="00A60164"/>
    <w:rsid w:val="00A64DBA"/>
    <w:rsid w:val="00A673E8"/>
    <w:rsid w:val="00A74CE0"/>
    <w:rsid w:val="00A80368"/>
    <w:rsid w:val="00A844DB"/>
    <w:rsid w:val="00A84D9E"/>
    <w:rsid w:val="00A909A2"/>
    <w:rsid w:val="00AA3A3B"/>
    <w:rsid w:val="00AB02D2"/>
    <w:rsid w:val="00AB566C"/>
    <w:rsid w:val="00AE1EB6"/>
    <w:rsid w:val="00AE7DF4"/>
    <w:rsid w:val="00B21C2E"/>
    <w:rsid w:val="00B31D1F"/>
    <w:rsid w:val="00B356CA"/>
    <w:rsid w:val="00B57C69"/>
    <w:rsid w:val="00B756D8"/>
    <w:rsid w:val="00B81D8F"/>
    <w:rsid w:val="00B87179"/>
    <w:rsid w:val="00B95056"/>
    <w:rsid w:val="00BA2D39"/>
    <w:rsid w:val="00BA4961"/>
    <w:rsid w:val="00BB4E10"/>
    <w:rsid w:val="00BB4E58"/>
    <w:rsid w:val="00BC244F"/>
    <w:rsid w:val="00BC57C0"/>
    <w:rsid w:val="00C22CB5"/>
    <w:rsid w:val="00C34FAB"/>
    <w:rsid w:val="00C370B9"/>
    <w:rsid w:val="00C43008"/>
    <w:rsid w:val="00C5177B"/>
    <w:rsid w:val="00C54FCF"/>
    <w:rsid w:val="00C55CF5"/>
    <w:rsid w:val="00C61A6F"/>
    <w:rsid w:val="00CB0894"/>
    <w:rsid w:val="00CE0E69"/>
    <w:rsid w:val="00CF3052"/>
    <w:rsid w:val="00D22998"/>
    <w:rsid w:val="00D413DB"/>
    <w:rsid w:val="00D457FC"/>
    <w:rsid w:val="00D538F2"/>
    <w:rsid w:val="00D80E5C"/>
    <w:rsid w:val="00D81656"/>
    <w:rsid w:val="00DA533A"/>
    <w:rsid w:val="00DB06ED"/>
    <w:rsid w:val="00DD1C38"/>
    <w:rsid w:val="00DE34F8"/>
    <w:rsid w:val="00E11C9E"/>
    <w:rsid w:val="00E12884"/>
    <w:rsid w:val="00E25101"/>
    <w:rsid w:val="00E426EF"/>
    <w:rsid w:val="00E6674E"/>
    <w:rsid w:val="00E7128C"/>
    <w:rsid w:val="00EA23F5"/>
    <w:rsid w:val="00EC201A"/>
    <w:rsid w:val="00EE3172"/>
    <w:rsid w:val="00EE5928"/>
    <w:rsid w:val="00EE6E3B"/>
    <w:rsid w:val="00F0721D"/>
    <w:rsid w:val="00F114C2"/>
    <w:rsid w:val="00F11873"/>
    <w:rsid w:val="00F11B9D"/>
    <w:rsid w:val="00F36A93"/>
    <w:rsid w:val="00F40355"/>
    <w:rsid w:val="00F64995"/>
    <w:rsid w:val="00F827B8"/>
    <w:rsid w:val="00FB06D9"/>
    <w:rsid w:val="00FD76F9"/>
    <w:rsid w:val="00FE2873"/>
    <w:rsid w:val="1EBD9178"/>
    <w:rsid w:val="2C864DC8"/>
    <w:rsid w:val="2CEFB339"/>
    <w:rsid w:val="2EA50C00"/>
    <w:rsid w:val="2EFBBC48"/>
    <w:rsid w:val="3B9D0C2F"/>
    <w:rsid w:val="3BBF1B45"/>
    <w:rsid w:val="3DFF8C80"/>
    <w:rsid w:val="3FAC72FC"/>
    <w:rsid w:val="3FDF6C0E"/>
    <w:rsid w:val="3FE95ABC"/>
    <w:rsid w:val="56EEFD7E"/>
    <w:rsid w:val="57B74E1B"/>
    <w:rsid w:val="591FD8F5"/>
    <w:rsid w:val="5AAC40BB"/>
    <w:rsid w:val="5DD32290"/>
    <w:rsid w:val="5DF46E1D"/>
    <w:rsid w:val="5DFEE7D4"/>
    <w:rsid w:val="5F3743E3"/>
    <w:rsid w:val="5FBC2178"/>
    <w:rsid w:val="6F9B4CF3"/>
    <w:rsid w:val="6FAF0381"/>
    <w:rsid w:val="6FFA9B97"/>
    <w:rsid w:val="6FFF2EC6"/>
    <w:rsid w:val="77FE7B89"/>
    <w:rsid w:val="7A8FFAC6"/>
    <w:rsid w:val="7AFB59A5"/>
    <w:rsid w:val="7BDFCBFF"/>
    <w:rsid w:val="7CFECE28"/>
    <w:rsid w:val="7DB18C74"/>
    <w:rsid w:val="7DBAEB37"/>
    <w:rsid w:val="7DBF1A34"/>
    <w:rsid w:val="7DEB2C32"/>
    <w:rsid w:val="7DFF523D"/>
    <w:rsid w:val="7E5F3199"/>
    <w:rsid w:val="7EF35ADA"/>
    <w:rsid w:val="7EFF5F66"/>
    <w:rsid w:val="7F7B04A8"/>
    <w:rsid w:val="7F7EF37E"/>
    <w:rsid w:val="7FA5EC14"/>
    <w:rsid w:val="7FD7D6B2"/>
    <w:rsid w:val="7FF37BAA"/>
    <w:rsid w:val="9DBC5BFE"/>
    <w:rsid w:val="A7EB79A2"/>
    <w:rsid w:val="ABC2528A"/>
    <w:rsid w:val="ABFD3B40"/>
    <w:rsid w:val="AE8F304D"/>
    <w:rsid w:val="AFFF087D"/>
    <w:rsid w:val="B7D56515"/>
    <w:rsid w:val="B9EF54B5"/>
    <w:rsid w:val="BE3FDE16"/>
    <w:rsid w:val="BEFF65E4"/>
    <w:rsid w:val="D7371D03"/>
    <w:rsid w:val="D7FE4373"/>
    <w:rsid w:val="DB7B5F1E"/>
    <w:rsid w:val="DE7F24A6"/>
    <w:rsid w:val="ED661AE8"/>
    <w:rsid w:val="EDFF9236"/>
    <w:rsid w:val="EEFDCF1B"/>
    <w:rsid w:val="EF358C7A"/>
    <w:rsid w:val="EFBFEC5E"/>
    <w:rsid w:val="F2715785"/>
    <w:rsid w:val="F3D759E3"/>
    <w:rsid w:val="F7AF7DD2"/>
    <w:rsid w:val="FAFBA160"/>
    <w:rsid w:val="FBDBA10B"/>
    <w:rsid w:val="FBF77622"/>
    <w:rsid w:val="FDEDAF6C"/>
    <w:rsid w:val="FE7F89ED"/>
    <w:rsid w:val="FF6D7F3E"/>
    <w:rsid w:val="FFAD001C"/>
    <w:rsid w:val="FFBF67D3"/>
    <w:rsid w:val="FFCFD27B"/>
    <w:rsid w:val="FFD77033"/>
    <w:rsid w:val="FFDF0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semiHidden/>
    <w:unhideWhenUsed/>
    <w:qFormat/>
    <w:uiPriority w:val="0"/>
    <w:pPr>
      <w:jc w:val="left"/>
    </w:pPr>
  </w:style>
  <w:style w:type="paragraph" w:styleId="4">
    <w:name w:val="Balloon Text"/>
    <w:basedOn w:val="1"/>
    <w:link w:val="14"/>
    <w:qFormat/>
    <w:uiPriority w:val="0"/>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3"/>
    <w:semiHidden/>
    <w:unhideWhenUsed/>
    <w:qFormat/>
    <w:uiPriority w:val="0"/>
    <w:rPr>
      <w:b/>
      <w:bCs/>
    </w:rPr>
  </w:style>
  <w:style w:type="character" w:styleId="10">
    <w:name w:val="annotation reference"/>
    <w:basedOn w:val="9"/>
    <w:semiHidden/>
    <w:unhideWhenUsed/>
    <w:qFormat/>
    <w:uiPriority w:val="0"/>
    <w:rPr>
      <w:sz w:val="21"/>
      <w:szCs w:val="21"/>
    </w:rPr>
  </w:style>
  <w:style w:type="character" w:customStyle="1" w:styleId="11">
    <w:name w:val="页眉 字符"/>
    <w:basedOn w:val="9"/>
    <w:link w:val="6"/>
    <w:qFormat/>
    <w:uiPriority w:val="0"/>
    <w:rPr>
      <w:rFonts w:ascii="Times New Roman" w:hAnsi="Times New Roman"/>
      <w:kern w:val="2"/>
      <w:sz w:val="18"/>
      <w:szCs w:val="18"/>
    </w:rPr>
  </w:style>
  <w:style w:type="character" w:customStyle="1" w:styleId="12">
    <w:name w:val="批注文字 字符"/>
    <w:basedOn w:val="9"/>
    <w:link w:val="3"/>
    <w:semiHidden/>
    <w:qFormat/>
    <w:uiPriority w:val="0"/>
    <w:rPr>
      <w:rFonts w:ascii="Times New Roman" w:hAnsi="Times New Roman"/>
      <w:kern w:val="2"/>
      <w:sz w:val="21"/>
      <w:szCs w:val="24"/>
    </w:rPr>
  </w:style>
  <w:style w:type="character" w:customStyle="1" w:styleId="13">
    <w:name w:val="批注主题 字符"/>
    <w:basedOn w:val="12"/>
    <w:link w:val="7"/>
    <w:semiHidden/>
    <w:qFormat/>
    <w:uiPriority w:val="0"/>
    <w:rPr>
      <w:rFonts w:ascii="Times New Roman" w:hAnsi="Times New Roman"/>
      <w:b/>
      <w:bCs/>
      <w:kern w:val="2"/>
      <w:sz w:val="21"/>
      <w:szCs w:val="24"/>
    </w:rPr>
  </w:style>
  <w:style w:type="character" w:customStyle="1" w:styleId="14">
    <w:name w:val="批注框文本 字符"/>
    <w:basedOn w:val="9"/>
    <w:link w:val="4"/>
    <w:qFormat/>
    <w:uiPriority w:val="0"/>
    <w:rPr>
      <w:rFonts w:ascii="Times New Roman" w:hAnsi="Times New Roman"/>
      <w:kern w:val="2"/>
      <w:sz w:val="18"/>
      <w:szCs w:val="18"/>
    </w:rPr>
  </w:style>
  <w:style w:type="character" w:customStyle="1" w:styleId="15">
    <w:name w:val="页脚 字符"/>
    <w:basedOn w:val="9"/>
    <w:link w:val="5"/>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10314</Words>
  <Characters>11088</Characters>
  <Lines>114</Lines>
  <Paragraphs>32</Paragraphs>
  <TotalTime>450</TotalTime>
  <ScaleCrop>false</ScaleCrop>
  <LinksUpToDate>false</LinksUpToDate>
  <CharactersWithSpaces>11245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2022-12-28T19:44:00Z</dcterms:created>
  <dc:creator>fxhuser</dc:creator>
  <cp:lastModifiedBy>执牛耳</cp:lastModifiedBy>
  <cp:lastPrinted>2022-12-28T16:41:00Z</cp:lastPrinted>
  <dcterms:modified xsi:type="dcterms:W3CDTF">2023-04-27T08:31:22Z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A19654ADA74049AF8A3EFC7FD2E1EFA0</vt:lpwstr>
  </property>
</Properties>
</file>