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rPr>
          <w:rFonts w:ascii="仿宋_GB2312" w:hAnsi="宋体" w:eastAsia="仿宋"/>
          <w:bCs/>
          <w:color w:val="000000"/>
          <w:kern w:val="0"/>
          <w:sz w:val="32"/>
          <w:szCs w:val="32"/>
        </w:rPr>
      </w:pPr>
      <w:r>
        <w:rPr>
          <w:rFonts w:hint="eastAsia" w:ascii="仿宋" w:hAnsi="仿宋" w:eastAsia="仿宋" w:cs="Arial"/>
          <w:kern w:val="0"/>
          <w:sz w:val="32"/>
          <w:szCs w:val="32"/>
        </w:rPr>
        <w:t>附件2</w:t>
      </w:r>
    </w:p>
    <w:p>
      <w:pPr>
        <w:jc w:val="center"/>
        <w:rPr>
          <w:rFonts w:ascii="宋体" w:hAnsi="宋体"/>
          <w:b/>
          <w:bCs/>
          <w:sz w:val="32"/>
          <w:szCs w:val="32"/>
        </w:rPr>
      </w:pPr>
    </w:p>
    <w:p>
      <w:pPr>
        <w:jc w:val="center"/>
      </w:pPr>
    </w:p>
    <w:p>
      <w:pPr>
        <w:jc w:val="center"/>
      </w:pPr>
      <w:r>
        <w:drawing>
          <wp:inline distT="0" distB="0" distL="0" distR="0">
            <wp:extent cx="1483995" cy="14287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83995" cy="1428750"/>
                    </a:xfrm>
                    <a:prstGeom prst="rect">
                      <a:avLst/>
                    </a:prstGeom>
                    <a:noFill/>
                    <a:ln>
                      <a:noFill/>
                    </a:ln>
                  </pic:spPr>
                </pic:pic>
              </a:graphicData>
            </a:graphic>
          </wp:inline>
        </w:drawing>
      </w:r>
    </w:p>
    <w:p/>
    <w:p/>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第十届“全国杰出青年法学家”</w:t>
      </w:r>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推荐表</w:t>
      </w:r>
    </w:p>
    <w:p/>
    <w:p/>
    <w:p/>
    <w:p/>
    <w:p/>
    <w:p/>
    <w:p>
      <w:pPr>
        <w:snapToGrid w:val="0"/>
        <w:rPr>
          <w:sz w:val="28"/>
          <w:szCs w:val="28"/>
        </w:rPr>
      </w:pPr>
    </w:p>
    <w:p>
      <w:pPr>
        <w:snapToGrid w:val="0"/>
        <w:rPr>
          <w:sz w:val="28"/>
          <w:szCs w:val="28"/>
        </w:rPr>
      </w:pPr>
    </w:p>
    <w:p>
      <w:pPr>
        <w:snapToGrid w:val="0"/>
        <w:rPr>
          <w:sz w:val="28"/>
          <w:szCs w:val="28"/>
        </w:rPr>
      </w:pPr>
    </w:p>
    <w:p>
      <w:pPr>
        <w:snapToGrid w:val="0"/>
        <w:ind w:firstLine="643" w:firstLineChars="200"/>
        <w:rPr>
          <w:rFonts w:eastAsia="仿宋_GB2312"/>
          <w:b/>
          <w:bCs/>
          <w:sz w:val="32"/>
          <w:szCs w:val="32"/>
          <w:u w:val="single"/>
        </w:rPr>
      </w:pPr>
      <w:r>
        <w:rPr>
          <w:rFonts w:hint="eastAsia" w:eastAsia="仿宋_GB2312"/>
          <w:b/>
          <w:bCs/>
          <w:sz w:val="32"/>
          <w:szCs w:val="32"/>
        </w:rPr>
        <w:t>姓    名</w:t>
      </w:r>
      <w:r>
        <w:rPr>
          <w:rFonts w:hint="eastAsia" w:eastAsia="仿宋_GB2312"/>
          <w:b/>
          <w:bCs/>
          <w:sz w:val="32"/>
          <w:szCs w:val="32"/>
          <w:u w:val="single"/>
        </w:rPr>
        <w:t xml:space="preserve">           李世刚                        </w:t>
      </w:r>
    </w:p>
    <w:p>
      <w:pPr>
        <w:snapToGrid w:val="0"/>
        <w:rPr>
          <w:rFonts w:eastAsia="仿宋_GB2312"/>
          <w:b/>
          <w:bCs/>
          <w:sz w:val="28"/>
          <w:szCs w:val="28"/>
          <w:u w:val="single"/>
        </w:rPr>
      </w:pPr>
    </w:p>
    <w:p>
      <w:pPr>
        <w:snapToGrid w:val="0"/>
        <w:ind w:firstLine="643" w:firstLineChars="200"/>
        <w:rPr>
          <w:rFonts w:eastAsia="仿宋_GB2312"/>
          <w:b/>
          <w:bCs/>
          <w:sz w:val="32"/>
          <w:szCs w:val="32"/>
          <w:u w:val="single"/>
        </w:rPr>
      </w:pPr>
      <w:r>
        <w:rPr>
          <w:rFonts w:hint="eastAsia" w:eastAsia="仿宋_GB2312"/>
          <w:b/>
          <w:bCs/>
          <w:sz w:val="32"/>
          <w:szCs w:val="32"/>
        </w:rPr>
        <w:t>工作单位</w:t>
      </w:r>
      <w:r>
        <w:rPr>
          <w:rFonts w:hint="eastAsia" w:eastAsia="仿宋_GB2312"/>
          <w:b/>
          <w:bCs/>
          <w:sz w:val="32"/>
          <w:szCs w:val="32"/>
          <w:u w:val="single"/>
        </w:rPr>
        <w:t xml:space="preserve">           复旦大学                        </w:t>
      </w:r>
    </w:p>
    <w:p>
      <w:pPr>
        <w:snapToGrid w:val="0"/>
        <w:rPr>
          <w:rFonts w:eastAsia="仿宋_GB2312"/>
          <w:b/>
          <w:bCs/>
          <w:sz w:val="28"/>
          <w:szCs w:val="28"/>
          <w:u w:val="single"/>
        </w:rPr>
      </w:pPr>
    </w:p>
    <w:p>
      <w:pPr>
        <w:snapToGrid w:val="0"/>
        <w:ind w:firstLine="643" w:firstLineChars="200"/>
        <w:rPr>
          <w:rFonts w:eastAsia="仿宋_GB2312"/>
          <w:b/>
          <w:bCs/>
          <w:sz w:val="32"/>
          <w:szCs w:val="32"/>
          <w:u w:val="single"/>
        </w:rPr>
      </w:pPr>
      <w:r>
        <w:rPr>
          <w:rFonts w:hint="eastAsia" w:eastAsia="仿宋_GB2312"/>
          <w:b/>
          <w:bCs/>
          <w:sz w:val="32"/>
          <w:szCs w:val="32"/>
        </w:rPr>
        <w:t>推荐单位</w:t>
      </w:r>
      <w:r>
        <w:rPr>
          <w:rFonts w:hint="eastAsia" w:eastAsia="仿宋_GB2312"/>
          <w:b/>
          <w:bCs/>
          <w:sz w:val="32"/>
          <w:szCs w:val="32"/>
          <w:u w:val="single"/>
        </w:rPr>
        <w:t xml:space="preserve">           复旦大学</w:t>
      </w:r>
      <w:r>
        <w:rPr>
          <w:rFonts w:hint="eastAsia" w:eastAsia="仿宋_GB2312"/>
          <w:b/>
          <w:bCs/>
          <w:sz w:val="32"/>
          <w:szCs w:val="32"/>
          <w:u w:val="single"/>
          <w:lang w:eastAsia="zh-CN"/>
        </w:rPr>
        <w:t>法学院</w:t>
      </w:r>
      <w:r>
        <w:rPr>
          <w:rFonts w:hint="eastAsia" w:eastAsia="仿宋_GB2312"/>
          <w:b/>
          <w:bCs/>
          <w:sz w:val="32"/>
          <w:szCs w:val="32"/>
          <w:u w:val="single"/>
        </w:rPr>
        <w:t xml:space="preserve">   </w:t>
      </w:r>
      <w:r>
        <w:rPr>
          <w:rFonts w:hint="eastAsia" w:eastAsia="仿宋_GB2312"/>
          <w:b/>
          <w:bCs/>
          <w:sz w:val="32"/>
          <w:szCs w:val="32"/>
          <w:u w:val="single"/>
          <w:lang w:val="en-US" w:eastAsia="zh-CN"/>
        </w:rPr>
        <w:t xml:space="preserve">      </w:t>
      </w:r>
      <w:r>
        <w:rPr>
          <w:rFonts w:hint="eastAsia" w:eastAsia="仿宋_GB2312"/>
          <w:b/>
          <w:bCs/>
          <w:sz w:val="32"/>
          <w:szCs w:val="32"/>
          <w:u w:val="single"/>
        </w:rPr>
        <w:t xml:space="preserve">            </w:t>
      </w: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ind w:firstLine="3360" w:firstLineChars="1050"/>
        <w:rPr>
          <w:rFonts w:ascii="宋体" w:hAnsi="Arial Narrow"/>
          <w:sz w:val="32"/>
          <w:szCs w:val="32"/>
        </w:rPr>
      </w:pPr>
      <w:r>
        <w:rPr>
          <w:rFonts w:hint="eastAsia" w:ascii="宋体" w:hAnsi="Arial Narrow"/>
          <w:sz w:val="32"/>
          <w:szCs w:val="32"/>
        </w:rPr>
        <w:t>中国法学会</w:t>
      </w:r>
    </w:p>
    <w:p>
      <w:pPr>
        <w:snapToGrid w:val="0"/>
        <w:jc w:val="center"/>
        <w:rPr>
          <w:rFonts w:eastAsia="仿宋_GB2312"/>
          <w:b/>
          <w:bCs/>
          <w:szCs w:val="21"/>
          <w:u w:val="single"/>
        </w:rPr>
      </w:pPr>
      <w:r>
        <w:rPr>
          <w:rFonts w:hint="eastAsia" w:ascii="宋体" w:hAnsi="Arial Narrow"/>
          <w:sz w:val="32"/>
          <w:szCs w:val="32"/>
        </w:rPr>
        <w:t>202</w:t>
      </w:r>
      <w:r>
        <w:rPr>
          <w:rFonts w:ascii="宋体" w:hAnsi="Arial Narrow"/>
          <w:sz w:val="32"/>
          <w:szCs w:val="32"/>
          <w:lang w:val="en"/>
        </w:rPr>
        <w:t>2</w:t>
      </w:r>
      <w:r>
        <w:rPr>
          <w:rFonts w:hint="eastAsia" w:ascii="宋体" w:hAnsi="Arial Narrow"/>
          <w:sz w:val="32"/>
          <w:szCs w:val="32"/>
        </w:rPr>
        <w:t>年</w:t>
      </w:r>
      <w:r>
        <w:rPr>
          <w:rFonts w:ascii="宋体" w:hAnsi="Arial Narrow"/>
          <w:sz w:val="32"/>
          <w:szCs w:val="32"/>
          <w:lang w:val="en"/>
        </w:rPr>
        <w:t>12</w:t>
      </w:r>
      <w:r>
        <w:rPr>
          <w:rFonts w:hint="eastAsia" w:ascii="宋体" w:hAnsi="Arial Narrow"/>
          <w:sz w:val="32"/>
          <w:szCs w:val="32"/>
        </w:rPr>
        <w:t>月印制</w:t>
      </w:r>
    </w:p>
    <w:p>
      <w:pPr>
        <w:snapToGrid w:val="0"/>
        <w:rPr>
          <w:rFonts w:eastAsia="仿宋_GB2312"/>
          <w:szCs w:val="21"/>
        </w:rPr>
      </w:pPr>
    </w:p>
    <w:p>
      <w:pPr>
        <w:spacing w:line="440" w:lineRule="exact"/>
        <w:jc w:val="center"/>
        <w:rPr>
          <w:rFonts w:ascii="Arial Narrow" w:hAnsi="Arial Narrow"/>
          <w:b/>
          <w:sz w:val="30"/>
        </w:rPr>
      </w:pPr>
    </w:p>
    <w:p>
      <w:pPr>
        <w:spacing w:line="440" w:lineRule="exact"/>
        <w:jc w:val="center"/>
        <w:rPr>
          <w:rFonts w:ascii="仿宋" w:hAnsi="仿宋" w:eastAsia="仿宋"/>
          <w:b/>
          <w:sz w:val="32"/>
          <w:szCs w:val="32"/>
        </w:rPr>
      </w:pPr>
      <w:r>
        <w:rPr>
          <w:rFonts w:hint="eastAsia" w:ascii="仿宋" w:hAnsi="仿宋" w:eastAsia="仿宋"/>
          <w:b/>
          <w:sz w:val="32"/>
          <w:szCs w:val="32"/>
        </w:rPr>
        <w:t>填</w:t>
      </w:r>
      <w:r>
        <w:rPr>
          <w:rFonts w:ascii="仿宋" w:hAnsi="仿宋" w:eastAsia="仿宋"/>
          <w:b/>
          <w:sz w:val="32"/>
          <w:szCs w:val="32"/>
        </w:rPr>
        <w:t xml:space="preserve">  </w:t>
      </w:r>
      <w:r>
        <w:rPr>
          <w:rFonts w:hint="eastAsia" w:ascii="仿宋" w:hAnsi="仿宋" w:eastAsia="仿宋"/>
          <w:b/>
          <w:sz w:val="32"/>
          <w:szCs w:val="32"/>
        </w:rPr>
        <w:t>表</w:t>
      </w:r>
      <w:r>
        <w:rPr>
          <w:rFonts w:ascii="仿宋" w:hAnsi="仿宋" w:eastAsia="仿宋"/>
          <w:b/>
          <w:sz w:val="32"/>
          <w:szCs w:val="32"/>
        </w:rPr>
        <w:t xml:space="preserve">  </w:t>
      </w:r>
      <w:r>
        <w:rPr>
          <w:rFonts w:hint="eastAsia" w:ascii="仿宋" w:hAnsi="仿宋" w:eastAsia="仿宋"/>
          <w:b/>
          <w:sz w:val="32"/>
          <w:szCs w:val="32"/>
        </w:rPr>
        <w:t>说</w:t>
      </w:r>
      <w:r>
        <w:rPr>
          <w:rFonts w:ascii="仿宋" w:hAnsi="仿宋" w:eastAsia="仿宋"/>
          <w:b/>
          <w:sz w:val="32"/>
          <w:szCs w:val="32"/>
        </w:rPr>
        <w:t xml:space="preserve">  </w:t>
      </w:r>
      <w:r>
        <w:rPr>
          <w:rFonts w:hint="eastAsia" w:ascii="仿宋" w:hAnsi="仿宋" w:eastAsia="仿宋"/>
          <w:b/>
          <w:sz w:val="32"/>
          <w:szCs w:val="32"/>
        </w:rPr>
        <w:t>明</w:t>
      </w:r>
    </w:p>
    <w:p>
      <w:pPr>
        <w:spacing w:line="480" w:lineRule="exact"/>
        <w:ind w:firstLine="560" w:firstLineChars="200"/>
        <w:rPr>
          <w:rFonts w:ascii="仿宋" w:hAnsi="仿宋" w:eastAsia="仿宋"/>
          <w:sz w:val="28"/>
          <w:szCs w:val="28"/>
        </w:rPr>
      </w:pPr>
    </w:p>
    <w:p>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rPr>
        <w:t>表一为推荐单位填写或指导推荐候选人填写，表二为推荐候选人工作单位上级党委（党组）填写并盖章，表三为推荐候选人工作单位上级纪检监察部门填写并盖章，表四为推荐单位填写并盖章。</w:t>
      </w:r>
    </w:p>
    <w:p>
      <w:pPr>
        <w:spacing w:line="560" w:lineRule="exact"/>
        <w:rPr>
          <w:rFonts w:ascii="仿宋" w:hAnsi="仿宋" w:eastAsia="仿宋"/>
          <w:sz w:val="28"/>
          <w:szCs w:val="28"/>
        </w:rPr>
      </w:pPr>
      <w:r>
        <w:rPr>
          <w:rFonts w:hint="eastAsia" w:ascii="仿宋" w:hAnsi="仿宋" w:eastAsia="仿宋"/>
          <w:sz w:val="28"/>
          <w:szCs w:val="28"/>
        </w:rPr>
        <w:t xml:space="preserve">    例如，推荐候选人为某大学法学院教授的，表二应由该大学党委填写并盖章，表三应由该大学纪委填写并盖章，表四应由该大学法学院填写并盖章。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二、推荐单位需填写推荐评选委员会投票情况、推荐意见（每人500字以内）。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三、请用计算机填写，可根据实际需要分栏，但勿随意变动格式及字体字号。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四、请各推荐单位于2023年3月20日之前，将</w:t>
      </w:r>
      <w:r>
        <w:rPr>
          <w:rFonts w:hint="eastAsia"/>
        </w:rPr>
        <w:fldChar w:fldCharType="begin"/>
      </w:r>
      <w:r>
        <w:instrText xml:space="preserve"> HYPERLINK "mailto:本表电子版发至邮箱qnfxj2016@126.com" </w:instrText>
      </w:r>
      <w:r>
        <w:rPr>
          <w:rFonts w:hint="eastAsia"/>
        </w:rPr>
        <w:fldChar w:fldCharType="separate"/>
      </w:r>
      <w:r>
        <w:rPr>
          <w:rFonts w:hint="eastAsia" w:ascii="仿宋" w:hAnsi="仿宋" w:eastAsia="仿宋"/>
          <w:sz w:val="28"/>
          <w:szCs w:val="28"/>
        </w:rPr>
        <w:t>本表电子版发至指定邮箱</w:t>
      </w:r>
      <w:r>
        <w:rPr>
          <w:rFonts w:hint="eastAsia" w:ascii="仿宋" w:hAnsi="仿宋" w:eastAsia="仿宋"/>
          <w:sz w:val="28"/>
          <w:szCs w:val="28"/>
        </w:rPr>
        <w:fldChar w:fldCharType="end"/>
      </w:r>
      <w:r>
        <w:rPr>
          <w:rFonts w:hint="eastAsia" w:ascii="仿宋" w:hAnsi="仿宋" w:eastAsia="仿宋"/>
          <w:sz w:val="28"/>
          <w:szCs w:val="28"/>
        </w:rPr>
        <w:t>。纸质版以A4纸打印一式四份，连同推荐评选情况报告、推荐候选人身份证复印件、推荐候选人代表性学术专著1-2部（独著）、学术论文3-5篇（独著或第一作者）、重要荣誉证书或证明复印件各一式一份，寄至指定地址。</w:t>
      </w:r>
    </w:p>
    <w:p>
      <w:pPr>
        <w:spacing w:line="560" w:lineRule="exact"/>
        <w:ind w:firstLine="560" w:firstLineChars="200"/>
        <w:rPr>
          <w:rFonts w:ascii="仿宋" w:hAnsi="仿宋" w:eastAsia="仿宋"/>
          <w:sz w:val="28"/>
          <w:szCs w:val="28"/>
        </w:rPr>
      </w:pP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联 系 人：魏丽莎 于晓航  010-66</w:t>
      </w:r>
      <w:r>
        <w:rPr>
          <w:rFonts w:ascii="仿宋" w:hAnsi="仿宋" w:eastAsia="仿宋"/>
          <w:color w:val="000000"/>
          <w:sz w:val="28"/>
          <w:szCs w:val="28"/>
          <w:lang w:val="en"/>
        </w:rPr>
        <w:t>1</w:t>
      </w:r>
      <w:r>
        <w:rPr>
          <w:rFonts w:hint="eastAsia" w:ascii="仿宋" w:hAnsi="仿宋" w:eastAsia="仿宋"/>
          <w:color w:val="000000"/>
          <w:sz w:val="28"/>
          <w:szCs w:val="28"/>
        </w:rPr>
        <w:t>23109</w:t>
      </w:r>
    </w:p>
    <w:p>
      <w:pPr>
        <w:snapToGrid w:val="0"/>
        <w:spacing w:line="560" w:lineRule="exact"/>
        <w:ind w:firstLine="560" w:firstLineChars="200"/>
        <w:rPr>
          <w:rFonts w:ascii="仿宋" w:hAnsi="仿宋" w:eastAsia="仿宋"/>
          <w:color w:val="000000"/>
          <w:spacing w:val="-6"/>
          <w:sz w:val="28"/>
          <w:szCs w:val="28"/>
        </w:rPr>
      </w:pPr>
      <w:r>
        <w:rPr>
          <w:rFonts w:hint="eastAsia" w:ascii="仿宋" w:hAnsi="仿宋" w:eastAsia="仿宋"/>
          <w:color w:val="000000"/>
          <w:sz w:val="28"/>
          <w:szCs w:val="28"/>
        </w:rPr>
        <w:t>邮寄地址：</w:t>
      </w:r>
      <w:r>
        <w:rPr>
          <w:rFonts w:hint="eastAsia" w:ascii="仿宋" w:hAnsi="仿宋" w:eastAsia="仿宋"/>
          <w:color w:val="000000"/>
          <w:spacing w:val="-6"/>
          <w:sz w:val="28"/>
          <w:szCs w:val="28"/>
        </w:rPr>
        <w:t>北京市海淀区皂君庙4号中国法学会研究部1334室</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邮    编：100081</w:t>
      </w:r>
    </w:p>
    <w:p>
      <w:pPr>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电子邮箱：</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"mailto:qnfxj2022@163.com" </w:instrText>
      </w:r>
      <w:r>
        <w:rPr>
          <w:rFonts w:hint="eastAsia" w:ascii="仿宋" w:hAnsi="仿宋" w:eastAsia="仿宋"/>
          <w:color w:val="000000"/>
          <w:sz w:val="28"/>
          <w:szCs w:val="28"/>
        </w:rPr>
        <w:fldChar w:fldCharType="separate"/>
      </w:r>
      <w:r>
        <w:rPr>
          <w:rStyle w:val="6"/>
          <w:rFonts w:hint="eastAsia" w:ascii="仿宋" w:hAnsi="仿宋" w:eastAsia="仿宋"/>
          <w:color w:val="000000"/>
          <w:sz w:val="28"/>
          <w:szCs w:val="28"/>
        </w:rPr>
        <w:t>qnfxj2022@163.com</w:t>
      </w:r>
      <w:r>
        <w:rPr>
          <w:rFonts w:hint="eastAsia" w:ascii="仿宋" w:hAnsi="仿宋" w:eastAsia="仿宋"/>
          <w:color w:val="000000"/>
          <w:sz w:val="28"/>
          <w:szCs w:val="28"/>
        </w:rPr>
        <w:fldChar w:fldCharType="end"/>
      </w:r>
    </w:p>
    <w:p>
      <w:pPr>
        <w:snapToGrid w:val="0"/>
        <w:spacing w:line="560" w:lineRule="exact"/>
        <w:ind w:firstLine="560" w:firstLineChars="200"/>
        <w:rPr>
          <w:rFonts w:hint="eastAsia" w:ascii="仿宋" w:hAnsi="仿宋" w:eastAsia="仿宋"/>
          <w:color w:val="000000"/>
          <w:sz w:val="28"/>
          <w:szCs w:val="28"/>
        </w:rPr>
      </w:pPr>
    </w:p>
    <w:p>
      <w:pPr>
        <w:rPr>
          <w:rFonts w:ascii="宋体" w:hAnsi="宋体"/>
          <w:b/>
          <w:bCs/>
          <w:color w:val="000000"/>
          <w:sz w:val="24"/>
        </w:rPr>
      </w:pPr>
    </w:p>
    <w:tbl>
      <w:tblPr>
        <w:tblStyle w:val="4"/>
        <w:tblpPr w:leftFromText="180" w:rightFromText="180" w:vertAnchor="text" w:horzAnchor="page" w:tblpX="1732" w:tblpY="-22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4"/>
        <w:gridCol w:w="1276"/>
        <w:gridCol w:w="201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9000" w:type="dxa"/>
            <w:gridSpan w:val="5"/>
            <w:tcBorders>
              <w:bottom w:val="single" w:color="000000" w:sz="4" w:space="0"/>
            </w:tcBorders>
            <w:vAlign w:val="center"/>
          </w:tcPr>
          <w:p>
            <w:pPr>
              <w:snapToGrid w:val="0"/>
              <w:rPr>
                <w:rFonts w:ascii="华文中宋" w:hAnsi="华文中宋" w:eastAsia="华文中宋"/>
                <w:b/>
                <w:color w:val="000000"/>
                <w:sz w:val="30"/>
                <w:szCs w:val="30"/>
              </w:rPr>
            </w:pPr>
            <w:r>
              <w:rPr>
                <w:rFonts w:hint="eastAsia" w:ascii="华文中宋" w:hAnsi="华文中宋" w:eastAsia="华文中宋"/>
                <w:b/>
                <w:color w:val="000000"/>
                <w:sz w:val="30"/>
                <w:szCs w:val="30"/>
              </w:rPr>
              <w:t>表一：推荐候选人情况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20" w:type="dxa"/>
            <w:tcBorders>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姓    名</w:t>
            </w:r>
          </w:p>
        </w:tc>
        <w:tc>
          <w:tcPr>
            <w:tcW w:w="2104" w:type="dxa"/>
            <w:tcBorders>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李世刚</w:t>
            </w:r>
          </w:p>
        </w:tc>
        <w:tc>
          <w:tcPr>
            <w:tcW w:w="127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性    别</w:t>
            </w:r>
          </w:p>
        </w:tc>
        <w:tc>
          <w:tcPr>
            <w:tcW w:w="201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男</w:t>
            </w:r>
          </w:p>
        </w:tc>
        <w:tc>
          <w:tcPr>
            <w:tcW w:w="1984" w:type="dxa"/>
            <w:vMerge w:val="restart"/>
            <w:tcBorders>
              <w:left w:val="single" w:color="000000" w:sz="4" w:space="0"/>
            </w:tcBorders>
            <w:vAlign w:val="center"/>
          </w:tcPr>
          <w:p>
            <w:pPr>
              <w:snapToGrid w:val="0"/>
              <w:jc w:val="center"/>
              <w:rPr>
                <w:rFonts w:ascii="宋体" w:hAnsi="宋体"/>
                <w:b/>
                <w:color w:val="000000"/>
                <w:sz w:val="24"/>
              </w:rPr>
            </w:pPr>
            <w:r>
              <w:rPr>
                <w:rFonts w:ascii="宋体" w:hAnsi="宋体"/>
                <w:b/>
                <w:color w:val="000000"/>
                <w:sz w:val="24"/>
              </w:rPr>
              <w:drawing>
                <wp:inline distT="0" distB="0" distL="0" distR="0">
                  <wp:extent cx="1122680" cy="1581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2680" cy="1581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20" w:type="dxa"/>
            <w:tcBorders>
              <w:top w:val="single" w:color="000000"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出生日期</w:t>
            </w:r>
          </w:p>
        </w:tc>
        <w:tc>
          <w:tcPr>
            <w:tcW w:w="2104" w:type="dxa"/>
            <w:tcBorders>
              <w:top w:val="single" w:color="000000" w:sz="4" w:space="0"/>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1</w:t>
            </w:r>
            <w:r>
              <w:rPr>
                <w:rFonts w:ascii="宋体" w:hAnsi="宋体"/>
                <w:b/>
                <w:color w:val="000000"/>
                <w:sz w:val="24"/>
              </w:rPr>
              <w:t>977.12</w:t>
            </w:r>
          </w:p>
        </w:tc>
        <w:tc>
          <w:tcPr>
            <w:tcW w:w="127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民    族</w:t>
            </w:r>
          </w:p>
        </w:tc>
        <w:tc>
          <w:tcPr>
            <w:tcW w:w="201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汉</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20" w:type="dxa"/>
            <w:tcBorders>
              <w:top w:val="single" w:color="000000" w:sz="4" w:space="0"/>
              <w:bottom w:val="single" w:color="auto"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政治面貌</w:t>
            </w:r>
          </w:p>
        </w:tc>
        <w:tc>
          <w:tcPr>
            <w:tcW w:w="2104" w:type="dxa"/>
            <w:tcBorders>
              <w:top w:val="single" w:color="000000" w:sz="4" w:space="0"/>
              <w:left w:val="single" w:color="000000" w:sz="4" w:space="0"/>
              <w:bottom w:val="single" w:color="auto" w:sz="4" w:space="0"/>
            </w:tcBorders>
            <w:vAlign w:val="center"/>
          </w:tcPr>
          <w:p>
            <w:pPr>
              <w:snapToGrid w:val="0"/>
              <w:jc w:val="left"/>
              <w:rPr>
                <w:rFonts w:ascii="宋体" w:hAnsi="宋体"/>
                <w:b/>
                <w:color w:val="000000"/>
                <w:sz w:val="24"/>
              </w:rPr>
            </w:pPr>
            <w:r>
              <w:rPr>
                <w:rFonts w:hint="eastAsia" w:ascii="宋体" w:hAnsi="宋体"/>
                <w:b/>
                <w:color w:val="000000"/>
                <w:sz w:val="24"/>
              </w:rPr>
              <w:t>中共党员</w:t>
            </w:r>
          </w:p>
        </w:tc>
        <w:tc>
          <w:tcPr>
            <w:tcW w:w="127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学    历</w:t>
            </w:r>
          </w:p>
        </w:tc>
        <w:tc>
          <w:tcPr>
            <w:tcW w:w="201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博士研究生</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0" w:type="dxa"/>
            <w:tcBorders>
              <w:top w:val="single" w:color="auto"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技术职称</w:t>
            </w:r>
          </w:p>
        </w:tc>
        <w:tc>
          <w:tcPr>
            <w:tcW w:w="2104" w:type="dxa"/>
            <w:tcBorders>
              <w:top w:val="single" w:color="auto" w:sz="4" w:space="0"/>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教授</w:t>
            </w:r>
          </w:p>
        </w:tc>
        <w:tc>
          <w:tcPr>
            <w:tcW w:w="1276"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行政职务</w:t>
            </w:r>
          </w:p>
        </w:tc>
        <w:tc>
          <w:tcPr>
            <w:tcW w:w="2016" w:type="dxa"/>
            <w:tcBorders>
              <w:top w:val="single" w:color="auto" w:sz="4" w:space="0"/>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副院长</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工作单位</w:t>
            </w:r>
          </w:p>
        </w:tc>
        <w:tc>
          <w:tcPr>
            <w:tcW w:w="5396" w:type="dxa"/>
            <w:gridSpan w:val="3"/>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复旦大学</w:t>
            </w:r>
          </w:p>
        </w:tc>
        <w:tc>
          <w:tcPr>
            <w:tcW w:w="1984" w:type="dxa"/>
            <w:vMerge w:val="continue"/>
            <w:tcBorders>
              <w:left w:val="single" w:color="000000" w:sz="4" w:space="0"/>
            </w:tcBorders>
            <w:vAlign w:val="center"/>
          </w:tcPr>
          <w:p>
            <w:pPr>
              <w:snapToGrid w:val="0"/>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通讯地址</w:t>
            </w:r>
          </w:p>
        </w:tc>
        <w:tc>
          <w:tcPr>
            <w:tcW w:w="7380" w:type="dxa"/>
            <w:gridSpan w:val="4"/>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上海市杨浦区淞沪路2</w:t>
            </w:r>
            <w:r>
              <w:rPr>
                <w:rFonts w:ascii="宋体" w:hAnsi="宋体"/>
                <w:b/>
                <w:color w:val="000000"/>
                <w:sz w:val="24"/>
              </w:rPr>
              <w:t>005</w:t>
            </w:r>
            <w:r>
              <w:rPr>
                <w:rFonts w:hint="eastAsia" w:ascii="宋体" w:hAnsi="宋体"/>
                <w:b/>
                <w:color w:val="000000"/>
                <w:sz w:val="24"/>
              </w:rPr>
              <w:t>号复旦大学法学院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1"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ascii="宋体" w:hAnsi="宋体"/>
                <w:b/>
                <w:color w:val="000000"/>
                <w:sz w:val="30"/>
                <w:szCs w:val="30"/>
              </w:rPr>
            </w:pPr>
            <w:r>
              <w:rPr>
                <w:rFonts w:hint="eastAsia" w:ascii="宋体" w:hAnsi="宋体"/>
                <w:b/>
                <w:color w:val="000000"/>
                <w:sz w:val="30"/>
                <w:szCs w:val="30"/>
              </w:rPr>
              <w:t>重要学术成果</w:t>
            </w:r>
          </w:p>
          <w:p>
            <w:pPr>
              <w:tabs>
                <w:tab w:val="left" w:pos="4185"/>
              </w:tabs>
              <w:snapToGrid w:val="0"/>
              <w:jc w:val="center"/>
              <w:rPr>
                <w:rFonts w:ascii="楷体_GB2312" w:hAnsi="楷体" w:eastAsia="楷体_GB2312"/>
                <w:b/>
                <w:color w:val="000000"/>
                <w:sz w:val="24"/>
              </w:rPr>
            </w:pPr>
            <w:r>
              <w:rPr>
                <w:rFonts w:hint="eastAsia" w:ascii="楷体_GB2312" w:hAnsi="楷体" w:eastAsia="楷体_GB2312"/>
                <w:b/>
                <w:color w:val="000000"/>
                <w:sz w:val="24"/>
              </w:rPr>
              <w:t>（包括专著和论文，只列书名和篇名即可。论文仅限于发表在核心期刊或全国性重要报纸上的。请注明署名方式、发表或出版时间、刊物或出版社、字数。代表性著作和论文请注明中国知网统计的被引用数。）</w:t>
            </w:r>
          </w:p>
          <w:p>
            <w:pPr>
              <w:keepNext w:val="0"/>
              <w:keepLines w:val="0"/>
              <w:pageBreakBefore w:val="0"/>
              <w:widowControl w:val="0"/>
              <w:tabs>
                <w:tab w:val="left" w:pos="4185"/>
              </w:tabs>
              <w:kinsoku/>
              <w:wordWrap/>
              <w:overflowPunct/>
              <w:topLinePunct w:val="0"/>
              <w:autoSpaceDE/>
              <w:autoSpaceDN/>
              <w:bidi w:val="0"/>
              <w:adjustRightInd/>
              <w:snapToGrid w:val="0"/>
              <w:spacing w:before="157" w:beforeLines="50" w:after="157" w:afterLines="50"/>
              <w:jc w:val="left"/>
              <w:textAlignment w:val="auto"/>
              <w:rPr>
                <w:rFonts w:ascii="宋体" w:hAnsi="宋体"/>
                <w:b/>
                <w:color w:val="000000"/>
                <w:sz w:val="24"/>
              </w:rPr>
            </w:pPr>
            <w:r>
              <w:rPr>
                <w:rFonts w:hint="eastAsia" w:ascii="宋体" w:hAnsi="宋体"/>
                <w:b/>
                <w:color w:val="000000"/>
                <w:sz w:val="24"/>
              </w:rPr>
              <w:t>一、专</w:t>
            </w:r>
            <w:r>
              <w:rPr>
                <w:rFonts w:ascii="宋体" w:hAnsi="宋体"/>
                <w:b/>
                <w:color w:val="000000"/>
                <w:sz w:val="24"/>
              </w:rPr>
              <w:t>著</w:t>
            </w:r>
            <w:r>
              <w:rPr>
                <w:rFonts w:hint="eastAsia" w:ascii="宋体" w:hAnsi="宋体"/>
                <w:b/>
                <w:color w:val="000000"/>
                <w:sz w:val="24"/>
              </w:rPr>
              <w:t>（独著）</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1.</w:t>
            </w:r>
            <w:r>
              <w:rPr>
                <w:rFonts w:ascii="楷体_GB2312" w:hAnsi="楷体" w:eastAsia="楷体_GB2312"/>
                <w:bCs/>
                <w:color w:val="000000"/>
                <w:sz w:val="24"/>
              </w:rPr>
              <w:t>《法国担保法改革》，法律出版社2011年</w:t>
            </w:r>
            <w:r>
              <w:rPr>
                <w:rFonts w:hint="eastAsia" w:ascii="楷体_GB2312" w:hAnsi="楷体" w:eastAsia="楷体_GB2312"/>
                <w:bCs/>
                <w:color w:val="000000"/>
                <w:sz w:val="24"/>
              </w:rPr>
              <w:t>版（</w:t>
            </w:r>
            <w:r>
              <w:rPr>
                <w:rFonts w:ascii="楷体_GB2312" w:hAnsi="楷体" w:eastAsia="楷体_GB2312"/>
                <w:bCs/>
                <w:color w:val="000000"/>
                <w:sz w:val="24"/>
              </w:rPr>
              <w:t>24</w:t>
            </w:r>
            <w:r>
              <w:rPr>
                <w:rFonts w:hint="eastAsia" w:ascii="楷体_GB2312" w:hAnsi="楷体" w:eastAsia="楷体_GB2312"/>
                <w:bCs/>
                <w:color w:val="000000"/>
                <w:sz w:val="24"/>
              </w:rPr>
              <w:t>万字）。</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2.</w:t>
            </w:r>
            <w:r>
              <w:rPr>
                <w:rFonts w:hint="eastAsia" w:ascii="楷体_GB2312" w:hAnsi="楷体" w:eastAsia="楷体_GB2312"/>
                <w:bCs/>
                <w:color w:val="000000"/>
                <w:sz w:val="24"/>
              </w:rPr>
              <w:t>《法国</w:t>
            </w:r>
            <w:r>
              <w:rPr>
                <w:rFonts w:ascii="楷体_GB2312" w:hAnsi="楷体" w:eastAsia="楷体_GB2312"/>
                <w:bCs/>
                <w:color w:val="000000"/>
                <w:sz w:val="24"/>
              </w:rPr>
              <w:t>合同法改革：三部草案的比较研究》</w:t>
            </w:r>
            <w:r>
              <w:rPr>
                <w:rFonts w:hint="eastAsia" w:ascii="楷体_GB2312" w:hAnsi="楷体" w:eastAsia="楷体_GB2312"/>
                <w:bCs/>
                <w:color w:val="000000"/>
                <w:sz w:val="24"/>
              </w:rPr>
              <w:t>，</w:t>
            </w:r>
            <w:r>
              <w:rPr>
                <w:rFonts w:ascii="楷体_GB2312" w:hAnsi="楷体" w:eastAsia="楷体_GB2312"/>
                <w:bCs/>
                <w:color w:val="000000"/>
                <w:sz w:val="24"/>
              </w:rPr>
              <w:t>法律出版社2014年</w:t>
            </w:r>
            <w:r>
              <w:rPr>
                <w:rFonts w:hint="eastAsia" w:ascii="楷体_GB2312" w:hAnsi="楷体" w:eastAsia="楷体_GB2312"/>
                <w:bCs/>
                <w:color w:val="000000"/>
                <w:sz w:val="24"/>
              </w:rPr>
              <w:t>版（</w:t>
            </w:r>
            <w:r>
              <w:rPr>
                <w:rFonts w:ascii="楷体_GB2312" w:hAnsi="楷体" w:eastAsia="楷体_GB2312"/>
                <w:bCs/>
                <w:color w:val="000000"/>
                <w:sz w:val="24"/>
              </w:rPr>
              <w:t>32.9</w:t>
            </w:r>
            <w:r>
              <w:rPr>
                <w:rFonts w:hint="eastAsia" w:ascii="楷体_GB2312" w:hAnsi="楷体" w:eastAsia="楷体_GB2312"/>
                <w:bCs/>
                <w:color w:val="000000"/>
                <w:sz w:val="24"/>
              </w:rPr>
              <w:t>万字）</w:t>
            </w:r>
          </w:p>
          <w:p>
            <w:pPr>
              <w:tabs>
                <w:tab w:val="left" w:pos="4185"/>
              </w:tabs>
              <w:snapToGrid w:val="0"/>
              <w:rPr>
                <w:rFonts w:ascii="楷体_GB2312" w:hAnsi="楷体" w:eastAsia="楷体_GB2312"/>
                <w:bCs/>
                <w:color w:val="000000"/>
                <w:sz w:val="24"/>
              </w:rPr>
            </w:pPr>
            <w:r>
              <w:rPr>
                <w:rFonts w:hint="eastAsia" w:ascii="楷体_GB2312" w:hAnsi="楷体" w:eastAsia="楷体_GB2312"/>
                <w:bCs/>
                <w:color w:val="000000"/>
                <w:sz w:val="24"/>
              </w:rPr>
              <w:t>【被引7</w:t>
            </w:r>
            <w:r>
              <w:rPr>
                <w:rFonts w:ascii="楷体_GB2312" w:hAnsi="楷体" w:eastAsia="楷体_GB2312"/>
                <w:bCs/>
                <w:color w:val="000000"/>
                <w:sz w:val="24"/>
              </w:rPr>
              <w:t>5</w:t>
            </w:r>
            <w:r>
              <w:rPr>
                <w:rFonts w:hint="eastAsia" w:ascii="楷体_GB2312" w:hAnsi="楷体" w:eastAsia="楷体_GB2312"/>
                <w:bCs/>
                <w:color w:val="000000"/>
                <w:sz w:val="24"/>
              </w:rPr>
              <w:t>】。</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3.</w:t>
            </w:r>
            <w:r>
              <w:rPr>
                <w:rFonts w:hint="eastAsia" w:ascii="楷体_GB2312" w:hAnsi="楷体" w:eastAsia="楷体_GB2312"/>
                <w:bCs/>
                <w:color w:val="000000"/>
                <w:sz w:val="24"/>
              </w:rPr>
              <w:t>《</w:t>
            </w:r>
            <w:r>
              <w:rPr>
                <w:rFonts w:ascii="楷体_GB2312" w:hAnsi="楷体" w:eastAsia="楷体_GB2312"/>
                <w:bCs/>
                <w:color w:val="000000"/>
                <w:sz w:val="24"/>
              </w:rPr>
              <w:t>法国新债法：债的渊源（准合同）</w:t>
            </w:r>
            <w:r>
              <w:rPr>
                <w:rFonts w:hint="eastAsia" w:ascii="楷体_GB2312" w:hAnsi="楷体" w:eastAsia="楷体_GB2312"/>
                <w:bCs/>
                <w:color w:val="000000"/>
                <w:sz w:val="24"/>
              </w:rPr>
              <w:t>》</w:t>
            </w:r>
            <w:r>
              <w:rPr>
                <w:rFonts w:ascii="楷体_GB2312" w:hAnsi="楷体" w:eastAsia="楷体_GB2312"/>
                <w:bCs/>
                <w:color w:val="000000"/>
                <w:sz w:val="24"/>
              </w:rPr>
              <w:t>，</w:t>
            </w:r>
            <w:r>
              <w:rPr>
                <w:rFonts w:hint="eastAsia" w:ascii="楷体_GB2312" w:hAnsi="楷体" w:eastAsia="楷体_GB2312"/>
                <w:bCs/>
                <w:color w:val="000000"/>
                <w:sz w:val="24"/>
              </w:rPr>
              <w:t>人民</w:t>
            </w:r>
            <w:r>
              <w:rPr>
                <w:rFonts w:ascii="楷体_GB2312" w:hAnsi="楷体" w:eastAsia="楷体_GB2312"/>
                <w:bCs/>
                <w:color w:val="000000"/>
                <w:sz w:val="24"/>
              </w:rPr>
              <w:t>日报出版社2017</w:t>
            </w:r>
            <w:r>
              <w:rPr>
                <w:rFonts w:hint="eastAsia" w:ascii="楷体_GB2312" w:hAnsi="楷体" w:eastAsia="楷体_GB2312"/>
                <w:bCs/>
                <w:color w:val="000000"/>
                <w:sz w:val="24"/>
              </w:rPr>
              <w:t>年版（2</w:t>
            </w:r>
            <w:r>
              <w:rPr>
                <w:rFonts w:ascii="楷体_GB2312" w:hAnsi="楷体" w:eastAsia="楷体_GB2312"/>
                <w:bCs/>
                <w:color w:val="000000"/>
                <w:sz w:val="24"/>
              </w:rPr>
              <w:t>3.7</w:t>
            </w:r>
            <w:r>
              <w:rPr>
                <w:rFonts w:hint="eastAsia" w:ascii="楷体_GB2312" w:hAnsi="楷体" w:eastAsia="楷体_GB2312"/>
                <w:bCs/>
                <w:color w:val="000000"/>
                <w:sz w:val="24"/>
              </w:rPr>
              <w:t>万字）</w:t>
            </w:r>
          </w:p>
          <w:p>
            <w:pPr>
              <w:tabs>
                <w:tab w:val="left" w:pos="4185"/>
              </w:tabs>
              <w:snapToGrid w:val="0"/>
              <w:rPr>
                <w:rFonts w:ascii="楷体_GB2312" w:hAnsi="楷体" w:eastAsia="楷体_GB2312"/>
                <w:bCs/>
                <w:color w:val="000000"/>
                <w:sz w:val="24"/>
              </w:rPr>
            </w:pPr>
            <w:r>
              <w:rPr>
                <w:rFonts w:hint="eastAsia" w:ascii="楷体_GB2312" w:hAnsi="楷体" w:eastAsia="楷体_GB2312"/>
                <w:bCs/>
                <w:color w:val="000000"/>
                <w:sz w:val="24"/>
              </w:rPr>
              <w:t>【被引：6</w:t>
            </w:r>
            <w:r>
              <w:rPr>
                <w:rFonts w:ascii="楷体_GB2312" w:hAnsi="楷体" w:eastAsia="楷体_GB2312"/>
                <w:bCs/>
                <w:color w:val="000000"/>
                <w:sz w:val="24"/>
              </w:rPr>
              <w:t>7</w:t>
            </w:r>
            <w:r>
              <w:rPr>
                <w:rFonts w:hint="eastAsia" w:ascii="楷体_GB2312" w:hAnsi="楷体" w:eastAsia="楷体_GB2312"/>
                <w:bCs/>
                <w:color w:val="000000"/>
                <w:sz w:val="24"/>
              </w:rPr>
              <w:t>】。</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4.</w:t>
            </w:r>
            <w:r>
              <w:rPr>
                <w:rFonts w:ascii="楷体_GB2312" w:hAnsi="楷体" w:eastAsia="楷体_GB2312"/>
                <w:bCs/>
                <w:color w:val="000000"/>
                <w:sz w:val="24"/>
              </w:rPr>
              <w:t>《法国</w:t>
            </w:r>
            <w:r>
              <w:rPr>
                <w:rFonts w:hint="eastAsia" w:ascii="楷体_GB2312" w:hAnsi="楷体" w:eastAsia="楷体_GB2312"/>
                <w:bCs/>
                <w:color w:val="000000"/>
                <w:sz w:val="24"/>
              </w:rPr>
              <w:t>民事</w:t>
            </w:r>
            <w:r>
              <w:rPr>
                <w:rFonts w:ascii="楷体_GB2312" w:hAnsi="楷体" w:eastAsia="楷体_GB2312"/>
                <w:bCs/>
                <w:color w:val="000000"/>
                <w:sz w:val="24"/>
              </w:rPr>
              <w:t>责任法改革：</w:t>
            </w:r>
            <w:r>
              <w:rPr>
                <w:rFonts w:hint="eastAsia" w:ascii="楷体_GB2312" w:hAnsi="楷体" w:eastAsia="楷体_GB2312"/>
                <w:bCs/>
                <w:color w:val="000000"/>
                <w:sz w:val="24"/>
              </w:rPr>
              <w:t>基调</w:t>
            </w:r>
            <w:r>
              <w:rPr>
                <w:rFonts w:ascii="楷体_GB2312" w:hAnsi="楷体" w:eastAsia="楷体_GB2312"/>
                <w:bCs/>
                <w:color w:val="000000"/>
                <w:sz w:val="24"/>
              </w:rPr>
              <w:t>与方向》</w:t>
            </w:r>
            <w:r>
              <w:rPr>
                <w:rFonts w:hint="eastAsia" w:ascii="楷体_GB2312" w:hAnsi="楷体" w:eastAsia="楷体_GB2312"/>
                <w:bCs/>
                <w:color w:val="000000"/>
                <w:sz w:val="24"/>
              </w:rPr>
              <w:t>，人民</w:t>
            </w:r>
            <w:r>
              <w:rPr>
                <w:rFonts w:ascii="楷体_GB2312" w:hAnsi="楷体" w:eastAsia="楷体_GB2312"/>
                <w:bCs/>
                <w:color w:val="000000"/>
                <w:sz w:val="24"/>
              </w:rPr>
              <w:t>日报出版社2017</w:t>
            </w:r>
            <w:r>
              <w:rPr>
                <w:rFonts w:hint="eastAsia" w:ascii="楷体_GB2312" w:hAnsi="楷体" w:eastAsia="楷体_GB2312"/>
                <w:bCs/>
                <w:color w:val="000000"/>
                <w:sz w:val="24"/>
              </w:rPr>
              <w:t>年版（2</w:t>
            </w:r>
            <w:r>
              <w:rPr>
                <w:rFonts w:ascii="楷体_GB2312" w:hAnsi="楷体" w:eastAsia="楷体_GB2312"/>
                <w:bCs/>
                <w:color w:val="000000"/>
                <w:sz w:val="24"/>
              </w:rPr>
              <w:t>3.6</w:t>
            </w:r>
            <w:r>
              <w:rPr>
                <w:rFonts w:hint="eastAsia" w:ascii="楷体_GB2312" w:hAnsi="楷体" w:eastAsia="楷体_GB2312"/>
                <w:bCs/>
                <w:color w:val="000000"/>
                <w:sz w:val="24"/>
              </w:rPr>
              <w:t>万字）。</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5.</w:t>
            </w:r>
            <w:r>
              <w:rPr>
                <w:rFonts w:ascii="楷体_GB2312" w:hAnsi="楷体" w:eastAsia="楷体_GB2312"/>
                <w:bCs/>
                <w:color w:val="000000"/>
                <w:sz w:val="24"/>
              </w:rPr>
              <w:t>《</w:t>
            </w:r>
            <w:r>
              <w:rPr>
                <w:rFonts w:hint="eastAsia" w:ascii="楷体_GB2312" w:hAnsi="楷体" w:eastAsia="楷体_GB2312"/>
                <w:bCs/>
                <w:color w:val="000000"/>
                <w:sz w:val="24"/>
              </w:rPr>
              <w:t>民法总论概要</w:t>
            </w:r>
            <w:r>
              <w:rPr>
                <w:rFonts w:ascii="楷体_GB2312" w:hAnsi="楷体" w:eastAsia="楷体_GB2312"/>
                <w:bCs/>
                <w:color w:val="000000"/>
                <w:sz w:val="24"/>
              </w:rPr>
              <w:t>》，</w:t>
            </w:r>
            <w:r>
              <w:rPr>
                <w:rFonts w:hint="eastAsia" w:ascii="楷体_GB2312" w:hAnsi="楷体" w:eastAsia="楷体_GB2312"/>
                <w:bCs/>
                <w:color w:val="000000"/>
                <w:sz w:val="24"/>
              </w:rPr>
              <w:t>复旦大学</w:t>
            </w:r>
            <w:r>
              <w:rPr>
                <w:rFonts w:ascii="楷体_GB2312" w:hAnsi="楷体" w:eastAsia="楷体_GB2312"/>
                <w:bCs/>
                <w:color w:val="000000"/>
                <w:sz w:val="24"/>
              </w:rPr>
              <w:t>出版社2021年</w:t>
            </w:r>
            <w:r>
              <w:rPr>
                <w:rFonts w:hint="eastAsia" w:ascii="楷体_GB2312" w:hAnsi="楷体" w:eastAsia="楷体_GB2312"/>
                <w:bCs/>
                <w:color w:val="000000"/>
                <w:sz w:val="24"/>
              </w:rPr>
              <w:t>版（2</w:t>
            </w:r>
            <w:r>
              <w:rPr>
                <w:rFonts w:ascii="楷体_GB2312" w:hAnsi="楷体" w:eastAsia="楷体_GB2312"/>
                <w:bCs/>
                <w:color w:val="000000"/>
                <w:sz w:val="24"/>
              </w:rPr>
              <w:t>4.5</w:t>
            </w:r>
            <w:r>
              <w:rPr>
                <w:rFonts w:hint="eastAsia" w:ascii="楷体_GB2312" w:hAnsi="楷体" w:eastAsia="楷体_GB2312"/>
                <w:bCs/>
                <w:color w:val="000000"/>
                <w:sz w:val="24"/>
              </w:rPr>
              <w:t>万字）。</w:t>
            </w:r>
          </w:p>
          <w:p>
            <w:pPr>
              <w:keepNext w:val="0"/>
              <w:keepLines w:val="0"/>
              <w:pageBreakBefore w:val="0"/>
              <w:widowControl w:val="0"/>
              <w:tabs>
                <w:tab w:val="left" w:pos="4185"/>
              </w:tabs>
              <w:kinsoku/>
              <w:wordWrap/>
              <w:overflowPunct/>
              <w:topLinePunct w:val="0"/>
              <w:autoSpaceDE/>
              <w:autoSpaceDN/>
              <w:bidi w:val="0"/>
              <w:adjustRightInd/>
              <w:snapToGrid w:val="0"/>
              <w:spacing w:before="157" w:beforeLines="50" w:after="157" w:afterLines="50"/>
              <w:jc w:val="left"/>
              <w:textAlignment w:val="auto"/>
              <w:rPr>
                <w:rFonts w:hint="eastAsia" w:ascii="宋体" w:hAnsi="宋体"/>
                <w:b/>
                <w:color w:val="000000"/>
                <w:sz w:val="24"/>
              </w:rPr>
            </w:pPr>
            <w:r>
              <w:rPr>
                <w:rFonts w:hint="eastAsia" w:ascii="宋体" w:hAnsi="宋体"/>
                <w:b/>
                <w:color w:val="000000"/>
                <w:sz w:val="24"/>
              </w:rPr>
              <w:t>二、中文权威期刊发表（独立作者）</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1.</w:t>
            </w:r>
            <w:r>
              <w:rPr>
                <w:rFonts w:ascii="楷体_GB2312" w:hAnsi="楷体" w:eastAsia="楷体_GB2312"/>
                <w:bCs/>
                <w:color w:val="000000"/>
                <w:sz w:val="24"/>
              </w:rPr>
              <w:t>“论《法国民法典》对罗马法信托概念的引入”，</w:t>
            </w:r>
            <w:r>
              <w:rPr>
                <w:rFonts w:ascii="楷体_GB2312" w:hAnsi="楷体" w:eastAsia="楷体_GB2312"/>
                <w:b/>
                <w:color w:val="000000"/>
                <w:sz w:val="24"/>
              </w:rPr>
              <w:t>《中国社会科学》</w:t>
            </w:r>
            <w:r>
              <w:rPr>
                <w:rFonts w:ascii="楷体_GB2312" w:hAnsi="楷体" w:eastAsia="楷体_GB2312"/>
                <w:bCs/>
                <w:color w:val="000000"/>
                <w:sz w:val="24"/>
              </w:rPr>
              <w:t>2009年</w:t>
            </w:r>
            <w:r>
              <w:rPr>
                <w:rFonts w:hint="eastAsia" w:ascii="楷体_GB2312" w:hAnsi="楷体" w:eastAsia="楷体_GB2312"/>
                <w:bCs/>
                <w:color w:val="000000"/>
                <w:sz w:val="24"/>
              </w:rPr>
              <w:t>第4期（</w:t>
            </w:r>
            <w:r>
              <w:rPr>
                <w:rFonts w:ascii="楷体_GB2312" w:hAnsi="楷体" w:eastAsia="楷体_GB2312"/>
                <w:bCs/>
                <w:color w:val="000000"/>
                <w:sz w:val="24"/>
              </w:rPr>
              <w:t>1.6</w:t>
            </w:r>
            <w:r>
              <w:rPr>
                <w:rFonts w:hint="eastAsia" w:ascii="楷体_GB2312" w:hAnsi="楷体" w:eastAsia="楷体_GB2312"/>
                <w:bCs/>
                <w:color w:val="000000"/>
                <w:sz w:val="24"/>
              </w:rPr>
              <w:t>万字）【被引:</w:t>
            </w:r>
            <w:r>
              <w:rPr>
                <w:rFonts w:ascii="楷体_GB2312" w:hAnsi="楷体" w:eastAsia="楷体_GB2312"/>
                <w:bCs/>
                <w:color w:val="000000"/>
                <w:sz w:val="24"/>
              </w:rPr>
              <w:t>66</w:t>
            </w:r>
            <w:r>
              <w:rPr>
                <w:rFonts w:hint="eastAsia" w:ascii="楷体_GB2312" w:hAnsi="楷体" w:eastAsia="楷体_GB2312"/>
                <w:bCs/>
                <w:color w:val="000000"/>
                <w:sz w:val="24"/>
              </w:rPr>
              <w:t>】。</w:t>
            </w:r>
            <w:r>
              <w:rPr>
                <w:rFonts w:ascii="楷体_GB2312" w:hAnsi="楷体" w:eastAsia="楷体_GB2312"/>
                <w:bCs/>
                <w:color w:val="000000"/>
                <w:sz w:val="24"/>
              </w:rPr>
              <w:t xml:space="preserve"> </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2.</w:t>
            </w:r>
            <w:r>
              <w:rPr>
                <w:rFonts w:ascii="楷体_GB2312" w:hAnsi="楷体" w:eastAsia="楷体_GB2312"/>
                <w:bCs/>
                <w:color w:val="000000"/>
                <w:sz w:val="24"/>
              </w:rPr>
              <w:t>“中国债编体系构建中若干基础关系的协调”，</w:t>
            </w:r>
            <w:r>
              <w:rPr>
                <w:rFonts w:ascii="楷体_GB2312" w:hAnsi="楷体" w:eastAsia="楷体_GB2312"/>
                <w:b/>
                <w:color w:val="000000"/>
                <w:sz w:val="24"/>
              </w:rPr>
              <w:t>《法学研究》</w:t>
            </w:r>
            <w:r>
              <w:rPr>
                <w:rFonts w:ascii="楷体_GB2312" w:hAnsi="楷体" w:eastAsia="楷体_GB2312"/>
                <w:bCs/>
                <w:color w:val="000000"/>
                <w:sz w:val="24"/>
              </w:rPr>
              <w:t>2016</w:t>
            </w:r>
            <w:r>
              <w:rPr>
                <w:rFonts w:hint="eastAsia" w:ascii="楷体_GB2312" w:hAnsi="楷体" w:eastAsia="楷体_GB2312"/>
                <w:bCs/>
                <w:color w:val="000000"/>
                <w:sz w:val="24"/>
              </w:rPr>
              <w:t>年</w:t>
            </w:r>
            <w:r>
              <w:rPr>
                <w:rFonts w:ascii="楷体_GB2312" w:hAnsi="楷体" w:eastAsia="楷体_GB2312"/>
                <w:bCs/>
                <w:color w:val="000000"/>
                <w:sz w:val="24"/>
              </w:rPr>
              <w:t>第5</w:t>
            </w:r>
            <w:r>
              <w:rPr>
                <w:rFonts w:hint="eastAsia" w:ascii="楷体_GB2312" w:hAnsi="楷体" w:eastAsia="楷体_GB2312"/>
                <w:bCs/>
                <w:color w:val="000000"/>
                <w:sz w:val="24"/>
              </w:rPr>
              <w:t>期（约</w:t>
            </w:r>
            <w:r>
              <w:rPr>
                <w:rFonts w:ascii="楷体_GB2312" w:hAnsi="楷体" w:eastAsia="楷体_GB2312"/>
                <w:bCs/>
                <w:color w:val="000000"/>
                <w:sz w:val="24"/>
              </w:rPr>
              <w:t>2.1</w:t>
            </w:r>
            <w:r>
              <w:rPr>
                <w:rFonts w:hint="eastAsia" w:ascii="楷体_GB2312" w:hAnsi="楷体" w:eastAsia="楷体_GB2312"/>
                <w:bCs/>
                <w:color w:val="000000"/>
                <w:sz w:val="24"/>
              </w:rPr>
              <w:t>万字）【被引</w:t>
            </w:r>
            <w:r>
              <w:rPr>
                <w:rFonts w:ascii="楷体_GB2312" w:hAnsi="楷体" w:eastAsia="楷体_GB2312"/>
                <w:bCs/>
                <w:color w:val="000000"/>
                <w:sz w:val="24"/>
              </w:rPr>
              <w:t>：51</w:t>
            </w:r>
            <w:r>
              <w:rPr>
                <w:rFonts w:hint="eastAsia" w:ascii="楷体_GB2312" w:hAnsi="楷体" w:eastAsia="楷体_GB2312"/>
                <w:bCs/>
                <w:color w:val="000000"/>
                <w:sz w:val="24"/>
              </w:rPr>
              <w:t>】。</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3.</w:t>
            </w:r>
            <w:r>
              <w:rPr>
                <w:rFonts w:hint="eastAsia" w:ascii="楷体_GB2312" w:hAnsi="楷体" w:eastAsia="楷体_GB2312"/>
                <w:bCs/>
                <w:color w:val="000000"/>
                <w:sz w:val="24"/>
              </w:rPr>
              <w:t>“法律行为内容评判的个案审查比对方法”，</w:t>
            </w:r>
            <w:r>
              <w:rPr>
                <w:rFonts w:hint="eastAsia" w:ascii="楷体_GB2312" w:hAnsi="楷体" w:eastAsia="楷体_GB2312"/>
                <w:b/>
                <w:color w:val="000000"/>
                <w:sz w:val="24"/>
              </w:rPr>
              <w:t>《法学研究》</w:t>
            </w:r>
            <w:r>
              <w:rPr>
                <w:rFonts w:hint="eastAsia" w:ascii="楷体_GB2312" w:hAnsi="楷体" w:eastAsia="楷体_GB2312"/>
                <w:bCs/>
                <w:color w:val="000000"/>
                <w:sz w:val="24"/>
              </w:rPr>
              <w:t>2</w:t>
            </w:r>
            <w:r>
              <w:rPr>
                <w:rFonts w:ascii="楷体_GB2312" w:hAnsi="楷体" w:eastAsia="楷体_GB2312"/>
                <w:bCs/>
                <w:color w:val="000000"/>
                <w:sz w:val="24"/>
              </w:rPr>
              <w:t>021</w:t>
            </w:r>
            <w:r>
              <w:rPr>
                <w:rFonts w:hint="eastAsia" w:ascii="楷体_GB2312" w:hAnsi="楷体" w:eastAsia="楷体_GB2312"/>
                <w:bCs/>
                <w:color w:val="000000"/>
                <w:sz w:val="24"/>
              </w:rPr>
              <w:t>年第5期（约2</w:t>
            </w:r>
            <w:r>
              <w:rPr>
                <w:rFonts w:ascii="楷体_GB2312" w:hAnsi="楷体" w:eastAsia="楷体_GB2312"/>
                <w:bCs/>
                <w:color w:val="000000"/>
                <w:sz w:val="24"/>
              </w:rPr>
              <w:t>.6</w:t>
            </w:r>
            <w:r>
              <w:rPr>
                <w:rFonts w:hint="eastAsia" w:ascii="楷体_GB2312" w:hAnsi="楷体" w:eastAsia="楷体_GB2312"/>
                <w:bCs/>
                <w:color w:val="000000"/>
                <w:sz w:val="24"/>
              </w:rPr>
              <w:t>万字）【被引</w:t>
            </w:r>
            <w:r>
              <w:rPr>
                <w:rFonts w:ascii="楷体_GB2312" w:hAnsi="楷体" w:eastAsia="楷体_GB2312"/>
                <w:bCs/>
                <w:color w:val="000000"/>
                <w:sz w:val="24"/>
              </w:rPr>
              <w:t>：</w:t>
            </w:r>
            <w:r>
              <w:rPr>
                <w:rFonts w:hint="eastAsia" w:ascii="楷体_GB2312" w:hAnsi="楷体" w:eastAsia="楷体_GB2312"/>
                <w:bCs/>
                <w:color w:val="000000"/>
                <w:sz w:val="24"/>
              </w:rPr>
              <w:t>1</w:t>
            </w:r>
            <w:r>
              <w:rPr>
                <w:rFonts w:ascii="楷体_GB2312" w:hAnsi="楷体" w:eastAsia="楷体_GB2312"/>
                <w:bCs/>
                <w:color w:val="000000"/>
                <w:sz w:val="24"/>
              </w:rPr>
              <w:t>7</w:t>
            </w:r>
            <w:r>
              <w:rPr>
                <w:rFonts w:hint="eastAsia" w:ascii="楷体_GB2312" w:hAnsi="楷体" w:eastAsia="楷体_GB2312"/>
                <w:bCs/>
                <w:color w:val="000000"/>
                <w:sz w:val="24"/>
              </w:rPr>
              <w:t>】。</w:t>
            </w:r>
          </w:p>
          <w:p>
            <w:pPr>
              <w:tabs>
                <w:tab w:val="left" w:pos="4185"/>
              </w:tabs>
              <w:snapToGrid w:val="0"/>
              <w:rPr>
                <w:rFonts w:ascii="楷体_GB2312" w:hAnsi="楷体" w:eastAsia="楷体_GB2312"/>
                <w:bCs/>
                <w:color w:val="000000"/>
                <w:sz w:val="24"/>
              </w:rPr>
            </w:pPr>
            <w:r>
              <w:rPr>
                <w:rFonts w:hint="eastAsia" w:ascii="楷体_GB2312" w:hAnsi="楷体" w:eastAsia="楷体_GB2312"/>
                <w:b/>
                <w:color w:val="000000"/>
                <w:sz w:val="24"/>
              </w:rPr>
              <w:t>4</w:t>
            </w:r>
            <w:r>
              <w:rPr>
                <w:rFonts w:ascii="楷体_GB2312" w:hAnsi="楷体" w:eastAsia="楷体_GB2312"/>
                <w:b/>
                <w:color w:val="000000"/>
                <w:sz w:val="24"/>
              </w:rPr>
              <w:t>.</w:t>
            </w:r>
            <w:r>
              <w:rPr>
                <w:rFonts w:hint="eastAsia" w:ascii="楷体_GB2312" w:hAnsi="楷体" w:eastAsia="楷体_GB2312"/>
                <w:bCs/>
                <w:color w:val="000000"/>
                <w:sz w:val="24"/>
              </w:rPr>
              <w:t>“民事救济规范竞争关系的协调”，</w:t>
            </w:r>
            <w:r>
              <w:rPr>
                <w:rFonts w:hint="eastAsia" w:ascii="楷体_GB2312" w:hAnsi="楷体" w:eastAsia="楷体_GB2312"/>
                <w:b/>
                <w:color w:val="000000"/>
                <w:sz w:val="24"/>
              </w:rPr>
              <w:t>《中国法学》</w:t>
            </w:r>
            <w:r>
              <w:rPr>
                <w:rFonts w:hint="eastAsia" w:ascii="楷体_GB2312" w:hAnsi="楷体" w:eastAsia="楷体_GB2312"/>
                <w:bCs/>
                <w:color w:val="000000"/>
                <w:sz w:val="24"/>
              </w:rPr>
              <w:t>2</w:t>
            </w:r>
            <w:r>
              <w:rPr>
                <w:rFonts w:ascii="楷体_GB2312" w:hAnsi="楷体" w:eastAsia="楷体_GB2312"/>
                <w:bCs/>
                <w:color w:val="000000"/>
                <w:sz w:val="24"/>
              </w:rPr>
              <w:t>023</w:t>
            </w:r>
            <w:r>
              <w:rPr>
                <w:rFonts w:hint="eastAsia" w:ascii="楷体_GB2312" w:hAnsi="楷体" w:eastAsia="楷体_GB2312"/>
                <w:bCs/>
                <w:color w:val="000000"/>
                <w:sz w:val="24"/>
              </w:rPr>
              <w:t>年第2期（约2</w:t>
            </w:r>
            <w:r>
              <w:rPr>
                <w:rFonts w:ascii="楷体_GB2312" w:hAnsi="楷体" w:eastAsia="楷体_GB2312"/>
                <w:bCs/>
                <w:color w:val="000000"/>
                <w:sz w:val="24"/>
              </w:rPr>
              <w:t>.2</w:t>
            </w:r>
            <w:r>
              <w:rPr>
                <w:rFonts w:hint="eastAsia" w:ascii="楷体_GB2312" w:hAnsi="楷体" w:eastAsia="楷体_GB2312"/>
                <w:bCs/>
                <w:color w:val="000000"/>
                <w:sz w:val="24"/>
              </w:rPr>
              <w:t>万字）。</w:t>
            </w:r>
          </w:p>
          <w:p>
            <w:pPr>
              <w:keepNext w:val="0"/>
              <w:keepLines w:val="0"/>
              <w:pageBreakBefore w:val="0"/>
              <w:widowControl w:val="0"/>
              <w:tabs>
                <w:tab w:val="left" w:pos="4185"/>
              </w:tabs>
              <w:kinsoku/>
              <w:wordWrap/>
              <w:overflowPunct/>
              <w:topLinePunct w:val="0"/>
              <w:autoSpaceDE/>
              <w:autoSpaceDN/>
              <w:bidi w:val="0"/>
              <w:adjustRightInd/>
              <w:snapToGrid w:val="0"/>
              <w:spacing w:before="157" w:beforeLines="50" w:after="157" w:afterLines="50"/>
              <w:jc w:val="left"/>
              <w:textAlignment w:val="auto"/>
              <w:rPr>
                <w:rFonts w:hint="eastAsia" w:ascii="宋体" w:hAnsi="宋体"/>
                <w:b/>
                <w:color w:val="000000"/>
                <w:sz w:val="24"/>
              </w:rPr>
            </w:pPr>
            <w:r>
              <w:rPr>
                <w:rFonts w:hint="eastAsia" w:ascii="宋体" w:hAnsi="宋体"/>
                <w:b/>
                <w:color w:val="000000"/>
                <w:sz w:val="24"/>
              </w:rPr>
              <w:t>三、中文核心期刊发表（独立作者，特别备注者除外）</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1</w:t>
            </w:r>
            <w:r>
              <w:rPr>
                <w:rFonts w:hint="eastAsia" w:ascii="楷体_GB2312" w:hAnsi="楷体" w:eastAsia="楷体_GB2312"/>
                <w:b/>
                <w:color w:val="000000"/>
                <w:sz w:val="24"/>
              </w:rPr>
              <w:t>.</w:t>
            </w:r>
            <w:r>
              <w:rPr>
                <w:rFonts w:ascii="楷体_GB2312" w:hAnsi="楷体" w:eastAsia="楷体_GB2312"/>
                <w:bCs/>
                <w:color w:val="000000"/>
                <w:sz w:val="24"/>
              </w:rPr>
              <w:t>“</w:t>
            </w:r>
            <w:r>
              <w:rPr>
                <w:rFonts w:hint="eastAsia" w:ascii="楷体_GB2312" w:hAnsi="楷体" w:eastAsia="楷体_GB2312"/>
                <w:bCs/>
                <w:color w:val="000000"/>
                <w:sz w:val="24"/>
              </w:rPr>
              <w:t>论敏感个人信息的合理使用</w:t>
            </w:r>
            <w:r>
              <w:rPr>
                <w:rFonts w:ascii="楷体_GB2312" w:hAnsi="楷体" w:eastAsia="楷体_GB2312"/>
                <w:bCs/>
                <w:color w:val="000000"/>
                <w:sz w:val="24"/>
              </w:rPr>
              <w:t>”</w:t>
            </w:r>
            <w:r>
              <w:rPr>
                <w:rFonts w:hint="eastAsia" w:ascii="楷体_GB2312" w:hAnsi="楷体" w:eastAsia="楷体_GB2312"/>
                <w:bCs/>
                <w:color w:val="000000"/>
                <w:sz w:val="24"/>
              </w:rPr>
              <w:t>（一作），</w:t>
            </w:r>
            <w:r>
              <w:rPr>
                <w:rFonts w:hint="eastAsia" w:ascii="楷体_GB2312" w:hAnsi="楷体" w:eastAsia="楷体_GB2312"/>
                <w:b/>
                <w:color w:val="000000"/>
                <w:sz w:val="24"/>
              </w:rPr>
              <w:t>《江苏社会科学》</w:t>
            </w:r>
            <w:r>
              <w:rPr>
                <w:rFonts w:hint="eastAsia" w:ascii="楷体_GB2312" w:hAnsi="楷体" w:eastAsia="楷体_GB2312"/>
                <w:bCs/>
                <w:color w:val="000000"/>
                <w:sz w:val="24"/>
              </w:rPr>
              <w:t>2</w:t>
            </w:r>
            <w:r>
              <w:rPr>
                <w:rFonts w:ascii="楷体_GB2312" w:hAnsi="楷体" w:eastAsia="楷体_GB2312"/>
                <w:bCs/>
                <w:color w:val="000000"/>
                <w:sz w:val="24"/>
              </w:rPr>
              <w:t>022</w:t>
            </w:r>
            <w:r>
              <w:rPr>
                <w:rFonts w:hint="eastAsia" w:ascii="楷体_GB2312" w:hAnsi="楷体" w:eastAsia="楷体_GB2312"/>
                <w:bCs/>
                <w:color w:val="000000"/>
                <w:sz w:val="24"/>
              </w:rPr>
              <w:t>年第6期</w:t>
            </w:r>
            <w:r>
              <w:rPr>
                <w:rFonts w:ascii="楷体_GB2312" w:hAnsi="楷体" w:eastAsia="楷体_GB2312"/>
                <w:bCs/>
                <w:color w:val="000000"/>
                <w:sz w:val="24"/>
              </w:rPr>
              <w:t>(</w:t>
            </w:r>
            <w:r>
              <w:rPr>
                <w:rFonts w:hint="eastAsia" w:ascii="楷体_GB2312" w:hAnsi="楷体" w:eastAsia="楷体_GB2312"/>
                <w:bCs/>
                <w:color w:val="000000"/>
                <w:sz w:val="24"/>
              </w:rPr>
              <w:t>约1</w:t>
            </w:r>
            <w:r>
              <w:rPr>
                <w:rFonts w:ascii="楷体_GB2312" w:hAnsi="楷体" w:eastAsia="楷体_GB2312"/>
                <w:bCs/>
                <w:color w:val="000000"/>
                <w:sz w:val="24"/>
              </w:rPr>
              <w:t>.3</w:t>
            </w:r>
            <w:r>
              <w:rPr>
                <w:rFonts w:hint="eastAsia" w:ascii="楷体_GB2312" w:hAnsi="楷体" w:eastAsia="楷体_GB2312"/>
                <w:bCs/>
                <w:color w:val="000000"/>
                <w:sz w:val="24"/>
              </w:rPr>
              <w:t>万字)。</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2.</w:t>
            </w:r>
            <w:r>
              <w:rPr>
                <w:rFonts w:hint="eastAsia" w:ascii="楷体_GB2312" w:hAnsi="楷体" w:eastAsia="楷体_GB2312"/>
                <w:bCs/>
                <w:color w:val="000000"/>
                <w:sz w:val="24"/>
              </w:rPr>
              <w:t>“规制算法：莫让算法算计人”(一作</w:t>
            </w:r>
            <w:r>
              <w:rPr>
                <w:rFonts w:ascii="楷体_GB2312" w:hAnsi="楷体" w:eastAsia="楷体_GB2312"/>
                <w:bCs/>
                <w:color w:val="000000"/>
                <w:sz w:val="24"/>
              </w:rPr>
              <w:t>)</w:t>
            </w:r>
            <w:r>
              <w:rPr>
                <w:rFonts w:hint="eastAsia" w:ascii="楷体_GB2312" w:hAnsi="楷体" w:eastAsia="楷体_GB2312"/>
                <w:bCs/>
                <w:color w:val="000000"/>
                <w:sz w:val="24"/>
              </w:rPr>
              <w:t>，</w:t>
            </w:r>
            <w:r>
              <w:rPr>
                <w:rFonts w:hint="eastAsia" w:ascii="楷体_GB2312" w:hAnsi="楷体" w:eastAsia="楷体_GB2312"/>
                <w:b/>
                <w:color w:val="000000"/>
                <w:sz w:val="24"/>
              </w:rPr>
              <w:t>《半月谈》</w:t>
            </w:r>
            <w:r>
              <w:rPr>
                <w:rFonts w:hint="eastAsia" w:ascii="楷体_GB2312" w:hAnsi="楷体" w:eastAsia="楷体_GB2312"/>
                <w:bCs/>
                <w:color w:val="000000"/>
                <w:sz w:val="24"/>
              </w:rPr>
              <w:t>2022年第2期（2</w:t>
            </w:r>
            <w:r>
              <w:rPr>
                <w:rFonts w:ascii="楷体_GB2312" w:hAnsi="楷体" w:eastAsia="楷体_GB2312"/>
                <w:bCs/>
                <w:color w:val="000000"/>
                <w:sz w:val="24"/>
              </w:rPr>
              <w:t>200</w:t>
            </w:r>
            <w:r>
              <w:rPr>
                <w:rFonts w:hint="eastAsia" w:ascii="楷体_GB2312" w:hAnsi="楷体" w:eastAsia="楷体_GB2312"/>
                <w:bCs/>
                <w:color w:val="000000"/>
                <w:sz w:val="24"/>
              </w:rPr>
              <w:t>字）。</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3.</w:t>
            </w:r>
            <w:r>
              <w:rPr>
                <w:rFonts w:hint="eastAsia" w:ascii="楷体_GB2312" w:hAnsi="楷体" w:eastAsia="楷体_GB2312"/>
                <w:bCs/>
                <w:color w:val="000000"/>
                <w:sz w:val="24"/>
              </w:rPr>
              <w:t>“</w:t>
            </w:r>
            <w:r>
              <w:rPr>
                <w:rFonts w:ascii="楷体_GB2312" w:hAnsi="楷体" w:eastAsia="楷体_GB2312"/>
                <w:bCs/>
                <w:color w:val="000000"/>
                <w:sz w:val="24"/>
              </w:rPr>
              <w:t>大型数字平台规制的新方向</w:t>
            </w:r>
            <w:r>
              <w:rPr>
                <w:rFonts w:hint="eastAsia" w:ascii="楷体_GB2312" w:hAnsi="楷体" w:eastAsia="楷体_GB2312"/>
                <w:bCs/>
                <w:color w:val="000000"/>
                <w:sz w:val="24"/>
              </w:rPr>
              <w:t>”，</w:t>
            </w:r>
            <w:r>
              <w:rPr>
                <w:rFonts w:hint="eastAsia" w:ascii="楷体_GB2312" w:hAnsi="楷体" w:eastAsia="楷体_GB2312"/>
                <w:b/>
                <w:color w:val="000000"/>
                <w:sz w:val="24"/>
              </w:rPr>
              <w:t>《法学杂志》</w:t>
            </w:r>
            <w:r>
              <w:rPr>
                <w:rFonts w:hint="eastAsia" w:ascii="楷体_GB2312" w:hAnsi="楷体" w:eastAsia="楷体_GB2312"/>
                <w:bCs/>
                <w:color w:val="000000"/>
                <w:sz w:val="24"/>
              </w:rPr>
              <w:t>2</w:t>
            </w:r>
            <w:r>
              <w:rPr>
                <w:rFonts w:ascii="楷体_GB2312" w:hAnsi="楷体" w:eastAsia="楷体_GB2312"/>
                <w:bCs/>
                <w:color w:val="000000"/>
                <w:sz w:val="24"/>
              </w:rPr>
              <w:t>021</w:t>
            </w:r>
            <w:r>
              <w:rPr>
                <w:rFonts w:hint="eastAsia" w:ascii="楷体_GB2312" w:hAnsi="楷体" w:eastAsia="楷体_GB2312"/>
                <w:bCs/>
                <w:color w:val="000000"/>
                <w:sz w:val="24"/>
              </w:rPr>
              <w:t>年9月刊（一作）（约2</w:t>
            </w:r>
            <w:r>
              <w:rPr>
                <w:rFonts w:ascii="楷体_GB2312" w:hAnsi="楷体" w:eastAsia="楷体_GB2312"/>
                <w:bCs/>
                <w:color w:val="000000"/>
                <w:sz w:val="24"/>
              </w:rPr>
              <w:t>.3</w:t>
            </w:r>
            <w:r>
              <w:rPr>
                <w:rFonts w:hint="eastAsia" w:ascii="楷体_GB2312" w:hAnsi="楷体" w:eastAsia="楷体_GB2312"/>
                <w:bCs/>
                <w:color w:val="000000"/>
                <w:sz w:val="24"/>
              </w:rPr>
              <w:t>万字）。</w:t>
            </w:r>
            <w:r>
              <w:rPr>
                <w:rFonts w:ascii="楷体_GB2312" w:hAnsi="楷体" w:eastAsia="楷体_GB2312"/>
                <w:b/>
                <w:color w:val="000000"/>
                <w:sz w:val="24"/>
              </w:rPr>
              <w:t>4.</w:t>
            </w:r>
            <w:r>
              <w:rPr>
                <w:rFonts w:hint="eastAsia" w:ascii="楷体_GB2312" w:hAnsi="楷体" w:eastAsia="楷体_GB2312"/>
                <w:bCs/>
                <w:color w:val="000000"/>
                <w:sz w:val="24"/>
              </w:rPr>
              <w:t>“独立担保中国规则的风险控制机制研究</w:t>
            </w:r>
            <w:r>
              <w:rPr>
                <w:rFonts w:ascii="楷体_GB2312" w:hAnsi="楷体" w:eastAsia="楷体_GB2312"/>
                <w:bCs/>
                <w:color w:val="000000"/>
                <w:sz w:val="24"/>
              </w:rPr>
              <w:t>”</w:t>
            </w:r>
            <w:r>
              <w:rPr>
                <w:rFonts w:hint="eastAsia" w:ascii="楷体_GB2312" w:hAnsi="楷体" w:eastAsia="楷体_GB2312"/>
                <w:bCs/>
                <w:color w:val="000000"/>
                <w:sz w:val="24"/>
              </w:rPr>
              <w:t>，</w:t>
            </w:r>
            <w:r>
              <w:rPr>
                <w:rFonts w:hint="eastAsia" w:ascii="楷体_GB2312" w:hAnsi="楷体" w:eastAsia="楷体_GB2312"/>
                <w:b/>
                <w:color w:val="000000"/>
                <w:sz w:val="24"/>
              </w:rPr>
              <w:t>《法学杂志》</w:t>
            </w:r>
            <w:r>
              <w:rPr>
                <w:rFonts w:hint="eastAsia" w:ascii="楷体_GB2312" w:hAnsi="楷体" w:eastAsia="楷体_GB2312"/>
                <w:bCs/>
                <w:color w:val="000000"/>
                <w:sz w:val="24"/>
              </w:rPr>
              <w:t>2</w:t>
            </w:r>
            <w:r>
              <w:rPr>
                <w:rFonts w:ascii="楷体_GB2312" w:hAnsi="楷体" w:eastAsia="楷体_GB2312"/>
                <w:bCs/>
                <w:color w:val="000000"/>
                <w:sz w:val="24"/>
              </w:rPr>
              <w:t>020</w:t>
            </w:r>
            <w:r>
              <w:rPr>
                <w:rFonts w:hint="eastAsia" w:ascii="楷体_GB2312" w:hAnsi="楷体" w:eastAsia="楷体_GB2312"/>
                <w:bCs/>
                <w:color w:val="000000"/>
                <w:sz w:val="24"/>
              </w:rPr>
              <w:t>年第2期（约1万字）。</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5.</w:t>
            </w:r>
            <w:r>
              <w:rPr>
                <w:rFonts w:hint="eastAsia" w:ascii="楷体_GB2312" w:hAnsi="楷体" w:eastAsia="楷体_GB2312"/>
                <w:bCs/>
                <w:color w:val="000000"/>
                <w:sz w:val="24"/>
              </w:rPr>
              <w:t>“论中国规则下独立担保的功能与定位”，</w:t>
            </w:r>
            <w:r>
              <w:rPr>
                <w:rFonts w:hint="eastAsia" w:ascii="楷体_GB2312" w:hAnsi="楷体" w:eastAsia="楷体_GB2312"/>
                <w:b/>
                <w:color w:val="000000"/>
                <w:sz w:val="24"/>
              </w:rPr>
              <w:t>《上海大学学报（社科版）》</w:t>
            </w:r>
            <w:r>
              <w:rPr>
                <w:rFonts w:hint="eastAsia" w:ascii="楷体_GB2312" w:hAnsi="楷体" w:eastAsia="楷体_GB2312"/>
                <w:bCs/>
                <w:color w:val="000000"/>
                <w:sz w:val="24"/>
              </w:rPr>
              <w:t>2</w:t>
            </w:r>
            <w:r>
              <w:rPr>
                <w:rFonts w:ascii="楷体_GB2312" w:hAnsi="楷体" w:eastAsia="楷体_GB2312"/>
                <w:bCs/>
                <w:color w:val="000000"/>
                <w:sz w:val="24"/>
              </w:rPr>
              <w:t>019</w:t>
            </w:r>
            <w:r>
              <w:rPr>
                <w:rFonts w:hint="eastAsia" w:ascii="楷体_GB2312" w:hAnsi="楷体" w:eastAsia="楷体_GB2312"/>
                <w:bCs/>
                <w:color w:val="000000"/>
                <w:sz w:val="24"/>
              </w:rPr>
              <w:t>年第3期（约</w:t>
            </w:r>
            <w:r>
              <w:rPr>
                <w:rFonts w:ascii="楷体_GB2312" w:hAnsi="楷体" w:eastAsia="楷体_GB2312"/>
                <w:bCs/>
                <w:color w:val="000000"/>
                <w:sz w:val="24"/>
              </w:rPr>
              <w:t>1.1</w:t>
            </w:r>
            <w:r>
              <w:rPr>
                <w:rFonts w:hint="eastAsia" w:ascii="楷体_GB2312" w:hAnsi="楷体" w:eastAsia="楷体_GB2312"/>
                <w:bCs/>
                <w:color w:val="000000"/>
                <w:sz w:val="24"/>
              </w:rPr>
              <w:t>万字）。</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6.</w:t>
            </w:r>
            <w:r>
              <w:rPr>
                <w:rFonts w:hint="eastAsia" w:ascii="楷体_GB2312" w:hAnsi="楷体" w:eastAsia="楷体_GB2312"/>
                <w:bCs/>
                <w:color w:val="000000"/>
                <w:sz w:val="24"/>
              </w:rPr>
              <w:t>“区块链争议解决与治理范式选择”（通讯作者），</w:t>
            </w:r>
            <w:r>
              <w:rPr>
                <w:rFonts w:hint="eastAsia" w:ascii="楷体_GB2312" w:hAnsi="楷体" w:eastAsia="楷体_GB2312"/>
                <w:b/>
                <w:color w:val="000000"/>
                <w:sz w:val="24"/>
              </w:rPr>
              <w:t>《科技与法律》</w:t>
            </w:r>
            <w:r>
              <w:rPr>
                <w:rFonts w:hint="eastAsia" w:ascii="楷体_GB2312" w:hAnsi="楷体" w:eastAsia="楷体_GB2312"/>
                <w:bCs/>
                <w:color w:val="000000"/>
                <w:sz w:val="24"/>
              </w:rPr>
              <w:t>2</w:t>
            </w:r>
            <w:r>
              <w:rPr>
                <w:rFonts w:ascii="楷体_GB2312" w:hAnsi="楷体" w:eastAsia="楷体_GB2312"/>
                <w:bCs/>
                <w:color w:val="000000"/>
                <w:sz w:val="24"/>
              </w:rPr>
              <w:t>019</w:t>
            </w:r>
            <w:r>
              <w:rPr>
                <w:rFonts w:hint="eastAsia" w:ascii="楷体_GB2312" w:hAnsi="楷体" w:eastAsia="楷体_GB2312"/>
                <w:bCs/>
                <w:color w:val="000000"/>
                <w:sz w:val="24"/>
              </w:rPr>
              <w:t>年第3期（约1</w:t>
            </w:r>
            <w:r>
              <w:rPr>
                <w:rFonts w:ascii="楷体_GB2312" w:hAnsi="楷体" w:eastAsia="楷体_GB2312"/>
                <w:bCs/>
                <w:color w:val="000000"/>
                <w:sz w:val="24"/>
              </w:rPr>
              <w:t>.4</w:t>
            </w:r>
            <w:r>
              <w:rPr>
                <w:rFonts w:hint="eastAsia" w:ascii="楷体_GB2312" w:hAnsi="楷体" w:eastAsia="楷体_GB2312"/>
                <w:bCs/>
                <w:color w:val="000000"/>
                <w:sz w:val="24"/>
              </w:rPr>
              <w:t>万字）。</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7.</w:t>
            </w:r>
            <w:r>
              <w:rPr>
                <w:rFonts w:ascii="楷体_GB2312" w:hAnsi="楷体" w:eastAsia="楷体_GB2312"/>
                <w:bCs/>
                <w:color w:val="000000"/>
                <w:sz w:val="24"/>
              </w:rPr>
              <w:t>“《民法总则》关于监护规定的释评”，</w:t>
            </w:r>
            <w:r>
              <w:rPr>
                <w:rFonts w:ascii="楷体_GB2312" w:hAnsi="楷体" w:eastAsia="楷体_GB2312"/>
                <w:b/>
                <w:color w:val="000000"/>
                <w:sz w:val="24"/>
              </w:rPr>
              <w:t>《法律适用》</w:t>
            </w:r>
            <w:r>
              <w:rPr>
                <w:rFonts w:ascii="楷体_GB2312" w:hAnsi="楷体" w:eastAsia="楷体_GB2312"/>
                <w:bCs/>
                <w:color w:val="000000"/>
                <w:sz w:val="24"/>
              </w:rPr>
              <w:t>2017年第9期</w:t>
            </w:r>
            <w:r>
              <w:rPr>
                <w:rFonts w:hint="eastAsia" w:ascii="楷体_GB2312" w:hAnsi="楷体" w:eastAsia="楷体_GB2312"/>
                <w:bCs/>
                <w:color w:val="000000"/>
                <w:sz w:val="24"/>
              </w:rPr>
              <w:t>(约</w:t>
            </w:r>
            <w:r>
              <w:rPr>
                <w:rFonts w:ascii="楷体_GB2312" w:hAnsi="楷体" w:eastAsia="楷体_GB2312"/>
                <w:bCs/>
                <w:color w:val="000000"/>
                <w:sz w:val="24"/>
              </w:rPr>
              <w:t>9</w:t>
            </w:r>
            <w:r>
              <w:rPr>
                <w:rFonts w:hint="eastAsia" w:ascii="楷体_GB2312" w:hAnsi="楷体" w:eastAsia="楷体_GB2312"/>
                <w:bCs/>
                <w:color w:val="000000"/>
                <w:sz w:val="24"/>
              </w:rPr>
              <w:t>千字)。</w:t>
            </w:r>
            <w:r>
              <w:rPr>
                <w:rFonts w:ascii="楷体_GB2312" w:hAnsi="楷体" w:eastAsia="楷体_GB2312"/>
                <w:b/>
                <w:color w:val="000000"/>
                <w:sz w:val="24"/>
              </w:rPr>
              <w:t>8.</w:t>
            </w:r>
            <w:r>
              <w:rPr>
                <w:rFonts w:ascii="楷体_GB2312" w:hAnsi="楷体" w:eastAsia="楷体_GB2312"/>
                <w:bCs/>
                <w:color w:val="000000"/>
                <w:sz w:val="24"/>
              </w:rPr>
              <w:t>“人身损害救济规则体系化的法国经验及启示”，</w:t>
            </w:r>
            <w:r>
              <w:rPr>
                <w:rFonts w:ascii="楷体_GB2312" w:hAnsi="楷体" w:eastAsia="楷体_GB2312"/>
                <w:b/>
                <w:color w:val="000000"/>
                <w:sz w:val="24"/>
              </w:rPr>
              <w:t>《东方法学》</w:t>
            </w:r>
            <w:r>
              <w:rPr>
                <w:rFonts w:ascii="楷体_GB2312" w:hAnsi="楷体" w:eastAsia="楷体_GB2312"/>
                <w:bCs/>
                <w:color w:val="000000"/>
                <w:sz w:val="24"/>
              </w:rPr>
              <w:t>2017</w:t>
            </w:r>
            <w:r>
              <w:rPr>
                <w:rFonts w:hint="eastAsia" w:ascii="楷体_GB2312" w:hAnsi="楷体" w:eastAsia="楷体_GB2312"/>
                <w:bCs/>
                <w:color w:val="000000"/>
                <w:sz w:val="24"/>
              </w:rPr>
              <w:t>年</w:t>
            </w:r>
            <w:r>
              <w:rPr>
                <w:rFonts w:ascii="楷体_GB2312" w:hAnsi="楷体" w:eastAsia="楷体_GB2312"/>
                <w:bCs/>
                <w:color w:val="000000"/>
                <w:sz w:val="24"/>
              </w:rPr>
              <w:t>第2</w:t>
            </w:r>
            <w:r>
              <w:rPr>
                <w:rFonts w:hint="eastAsia" w:ascii="楷体_GB2312" w:hAnsi="楷体" w:eastAsia="楷体_GB2312"/>
                <w:bCs/>
                <w:color w:val="000000"/>
                <w:sz w:val="24"/>
              </w:rPr>
              <w:t>期（约</w:t>
            </w:r>
            <w:r>
              <w:rPr>
                <w:rFonts w:ascii="楷体_GB2312" w:hAnsi="楷体" w:eastAsia="楷体_GB2312"/>
                <w:bCs/>
                <w:color w:val="000000"/>
                <w:sz w:val="24"/>
              </w:rPr>
              <w:t>1.5</w:t>
            </w:r>
            <w:r>
              <w:rPr>
                <w:rFonts w:hint="eastAsia" w:ascii="楷体_GB2312" w:hAnsi="楷体" w:eastAsia="楷体_GB2312"/>
                <w:bCs/>
                <w:color w:val="000000"/>
                <w:sz w:val="24"/>
              </w:rPr>
              <w:t>万字）。</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9.</w:t>
            </w:r>
            <w:r>
              <w:rPr>
                <w:rFonts w:hint="eastAsia" w:ascii="楷体_GB2312" w:hAnsi="楷体" w:eastAsia="楷体_GB2312"/>
                <w:bCs/>
                <w:color w:val="000000"/>
                <w:sz w:val="24"/>
              </w:rPr>
              <w:t>“合同合法性的审查机制”，</w:t>
            </w:r>
            <w:r>
              <w:rPr>
                <w:rFonts w:hint="eastAsia" w:ascii="楷体_GB2312" w:hAnsi="楷体" w:eastAsia="楷体_GB2312"/>
                <w:b/>
                <w:color w:val="000000"/>
                <w:sz w:val="24"/>
              </w:rPr>
              <w:t>《华东政法大学学报》</w:t>
            </w:r>
            <w:r>
              <w:rPr>
                <w:rFonts w:hint="eastAsia" w:ascii="楷体_GB2312" w:hAnsi="楷体" w:eastAsia="楷体_GB2312"/>
                <w:bCs/>
                <w:color w:val="000000"/>
                <w:sz w:val="24"/>
              </w:rPr>
              <w:t>2</w:t>
            </w:r>
            <w:r>
              <w:rPr>
                <w:rFonts w:ascii="楷体_GB2312" w:hAnsi="楷体" w:eastAsia="楷体_GB2312"/>
                <w:bCs/>
                <w:color w:val="000000"/>
                <w:sz w:val="24"/>
              </w:rPr>
              <w:t>017</w:t>
            </w:r>
            <w:r>
              <w:rPr>
                <w:rFonts w:hint="eastAsia" w:ascii="楷体_GB2312" w:hAnsi="楷体" w:eastAsia="楷体_GB2312"/>
                <w:bCs/>
                <w:color w:val="000000"/>
                <w:sz w:val="24"/>
              </w:rPr>
              <w:t>年第4期（约</w:t>
            </w:r>
            <w:r>
              <w:rPr>
                <w:rFonts w:ascii="楷体_GB2312" w:hAnsi="楷体" w:eastAsia="楷体_GB2312"/>
                <w:bCs/>
                <w:color w:val="000000"/>
                <w:sz w:val="24"/>
              </w:rPr>
              <w:t>1.4</w:t>
            </w:r>
            <w:r>
              <w:rPr>
                <w:rFonts w:hint="eastAsia" w:ascii="楷体_GB2312" w:hAnsi="楷体" w:eastAsia="楷体_GB2312"/>
                <w:bCs/>
                <w:color w:val="000000"/>
                <w:sz w:val="24"/>
              </w:rPr>
              <w:t>万字）。</w:t>
            </w:r>
            <w:r>
              <w:rPr>
                <w:rFonts w:ascii="楷体_GB2312" w:hAnsi="楷体" w:eastAsia="楷体_GB2312"/>
                <w:b/>
                <w:color w:val="000000"/>
                <w:sz w:val="24"/>
              </w:rPr>
              <w:t>10.</w:t>
            </w:r>
            <w:r>
              <w:rPr>
                <w:rFonts w:ascii="楷体_GB2312" w:hAnsi="楷体" w:eastAsia="楷体_GB2312"/>
                <w:bCs/>
                <w:color w:val="000000"/>
                <w:sz w:val="24"/>
              </w:rPr>
              <w:t>“法国民事责任改革法草案解析与启示”，</w:t>
            </w:r>
            <w:r>
              <w:rPr>
                <w:rFonts w:ascii="楷体_GB2312" w:hAnsi="楷体" w:eastAsia="楷体_GB2312"/>
                <w:b/>
                <w:color w:val="000000"/>
                <w:sz w:val="24"/>
              </w:rPr>
              <w:t>《交大法学》</w:t>
            </w:r>
            <w:r>
              <w:rPr>
                <w:rFonts w:ascii="楷体_GB2312" w:hAnsi="楷体" w:eastAsia="楷体_GB2312"/>
                <w:bCs/>
                <w:color w:val="000000"/>
                <w:sz w:val="24"/>
              </w:rPr>
              <w:t>2017年6月刊</w:t>
            </w:r>
            <w:r>
              <w:rPr>
                <w:rFonts w:hint="eastAsia" w:ascii="楷体_GB2312" w:hAnsi="楷体" w:eastAsia="楷体_GB2312"/>
                <w:bCs/>
                <w:color w:val="000000"/>
                <w:sz w:val="24"/>
              </w:rPr>
              <w:t>（约</w:t>
            </w:r>
            <w:r>
              <w:rPr>
                <w:rFonts w:ascii="楷体_GB2312" w:hAnsi="楷体" w:eastAsia="楷体_GB2312"/>
                <w:bCs/>
                <w:color w:val="000000"/>
                <w:sz w:val="24"/>
              </w:rPr>
              <w:t>9</w:t>
            </w:r>
            <w:r>
              <w:rPr>
                <w:rFonts w:hint="eastAsia" w:ascii="楷体_GB2312" w:hAnsi="楷体" w:eastAsia="楷体_GB2312"/>
                <w:bCs/>
                <w:color w:val="000000"/>
                <w:sz w:val="24"/>
              </w:rPr>
              <w:t>千字）。</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11.</w:t>
            </w:r>
            <w:r>
              <w:rPr>
                <w:rFonts w:ascii="楷体_GB2312" w:hAnsi="楷体" w:eastAsia="楷体_GB2312"/>
                <w:bCs/>
                <w:color w:val="000000"/>
                <w:sz w:val="24"/>
              </w:rPr>
              <w:t>“法国新债法准合同规范研究”，</w:t>
            </w:r>
            <w:r>
              <w:rPr>
                <w:rFonts w:ascii="楷体_GB2312" w:hAnsi="楷体" w:eastAsia="楷体_GB2312"/>
                <w:b/>
                <w:color w:val="000000"/>
                <w:sz w:val="24"/>
              </w:rPr>
              <w:t>《比较法研究》</w:t>
            </w:r>
            <w:r>
              <w:rPr>
                <w:rFonts w:ascii="楷体_GB2312" w:hAnsi="楷体" w:eastAsia="楷体_GB2312"/>
                <w:bCs/>
                <w:color w:val="000000"/>
                <w:sz w:val="24"/>
              </w:rPr>
              <w:t>2016年第6期</w:t>
            </w:r>
            <w:r>
              <w:rPr>
                <w:rFonts w:hint="eastAsia" w:ascii="楷体_GB2312" w:hAnsi="楷体" w:eastAsia="楷体_GB2312"/>
                <w:bCs/>
                <w:color w:val="000000"/>
                <w:sz w:val="24"/>
              </w:rPr>
              <w:t>（约</w:t>
            </w:r>
            <w:r>
              <w:rPr>
                <w:rFonts w:ascii="楷体_GB2312" w:hAnsi="楷体" w:eastAsia="楷体_GB2312"/>
                <w:bCs/>
                <w:color w:val="000000"/>
                <w:sz w:val="24"/>
              </w:rPr>
              <w:t>2.3</w:t>
            </w:r>
            <w:r>
              <w:rPr>
                <w:rFonts w:hint="eastAsia" w:ascii="楷体_GB2312" w:hAnsi="楷体" w:eastAsia="楷体_GB2312"/>
                <w:bCs/>
                <w:color w:val="000000"/>
                <w:sz w:val="24"/>
              </w:rPr>
              <w:t>万字）。</w:t>
            </w:r>
            <w:r>
              <w:rPr>
                <w:rFonts w:ascii="楷体_GB2312" w:hAnsi="楷体" w:eastAsia="楷体_GB2312"/>
                <w:b/>
                <w:color w:val="000000"/>
                <w:sz w:val="24"/>
              </w:rPr>
              <w:t>12.</w:t>
            </w:r>
            <w:r>
              <w:rPr>
                <w:rFonts w:ascii="楷体_GB2312" w:hAnsi="楷体" w:eastAsia="楷体_GB2312"/>
                <w:bCs/>
                <w:color w:val="000000"/>
                <w:sz w:val="24"/>
              </w:rPr>
              <w:t>“论法定不动产担保物权隐秘性削减的修法趋势”，</w:t>
            </w:r>
            <w:r>
              <w:rPr>
                <w:rFonts w:ascii="楷体_GB2312" w:hAnsi="楷体" w:eastAsia="楷体_GB2312"/>
                <w:b/>
                <w:color w:val="000000"/>
                <w:sz w:val="24"/>
              </w:rPr>
              <w:t>《法学杂志》</w:t>
            </w:r>
            <w:r>
              <w:rPr>
                <w:rFonts w:ascii="楷体_GB2312" w:hAnsi="楷体" w:eastAsia="楷体_GB2312"/>
                <w:bCs/>
                <w:color w:val="000000"/>
                <w:sz w:val="24"/>
              </w:rPr>
              <w:t>2016年第11期</w:t>
            </w:r>
            <w:r>
              <w:rPr>
                <w:rFonts w:hint="eastAsia" w:ascii="楷体_GB2312" w:hAnsi="楷体" w:eastAsia="楷体_GB2312"/>
                <w:bCs/>
                <w:color w:val="000000"/>
                <w:sz w:val="24"/>
              </w:rPr>
              <w:t>（约</w:t>
            </w:r>
            <w:r>
              <w:rPr>
                <w:rFonts w:ascii="楷体_GB2312" w:hAnsi="楷体" w:eastAsia="楷体_GB2312"/>
                <w:bCs/>
                <w:color w:val="000000"/>
                <w:sz w:val="24"/>
              </w:rPr>
              <w:t>1</w:t>
            </w:r>
            <w:r>
              <w:rPr>
                <w:rFonts w:hint="eastAsia" w:ascii="楷体_GB2312" w:hAnsi="楷体" w:eastAsia="楷体_GB2312"/>
                <w:bCs/>
                <w:color w:val="000000"/>
                <w:sz w:val="24"/>
              </w:rPr>
              <w:t>万字）。</w:t>
            </w:r>
          </w:p>
          <w:p>
            <w:pPr>
              <w:keepNext w:val="0"/>
              <w:keepLines w:val="0"/>
              <w:pageBreakBefore w:val="0"/>
              <w:widowControl w:val="0"/>
              <w:tabs>
                <w:tab w:val="left" w:pos="4185"/>
              </w:tabs>
              <w:kinsoku/>
              <w:wordWrap/>
              <w:overflowPunct/>
              <w:topLinePunct w:val="0"/>
              <w:autoSpaceDE/>
              <w:autoSpaceDN/>
              <w:bidi w:val="0"/>
              <w:adjustRightInd/>
              <w:snapToGrid w:val="0"/>
              <w:spacing w:before="313" w:beforeLines="100"/>
              <w:textAlignment w:val="auto"/>
              <w:rPr>
                <w:rFonts w:hint="eastAsia" w:ascii="楷体_GB2312" w:hAnsi="楷体" w:eastAsia="楷体_GB2312"/>
                <w:bCs/>
                <w:color w:val="000000"/>
                <w:sz w:val="24"/>
              </w:rPr>
            </w:pPr>
            <w:r>
              <w:rPr>
                <w:rFonts w:ascii="楷体_GB2312" w:hAnsi="楷体" w:eastAsia="楷体_GB2312"/>
                <w:b/>
                <w:color w:val="000000"/>
                <w:sz w:val="24"/>
              </w:rPr>
              <w:t>13.</w:t>
            </w:r>
            <w:r>
              <w:rPr>
                <w:rFonts w:ascii="楷体_GB2312" w:hAnsi="楷体" w:eastAsia="楷体_GB2312"/>
                <w:bCs/>
                <w:color w:val="000000"/>
                <w:sz w:val="24"/>
              </w:rPr>
              <w:t>“法国《合同法改革草案》解析”，</w:t>
            </w:r>
            <w:r>
              <w:rPr>
                <w:rFonts w:ascii="楷体_GB2312" w:hAnsi="楷体" w:eastAsia="楷体_GB2312"/>
                <w:b/>
                <w:color w:val="000000"/>
                <w:sz w:val="24"/>
              </w:rPr>
              <w:t>《比较法研究》</w:t>
            </w:r>
            <w:r>
              <w:rPr>
                <w:rFonts w:ascii="楷体_GB2312" w:hAnsi="楷体" w:eastAsia="楷体_GB2312"/>
                <w:bCs/>
                <w:color w:val="000000"/>
                <w:sz w:val="24"/>
              </w:rPr>
              <w:t>2014年第3期</w:t>
            </w:r>
            <w:r>
              <w:rPr>
                <w:rFonts w:hint="eastAsia" w:ascii="楷体_GB2312" w:hAnsi="楷体" w:eastAsia="楷体_GB2312"/>
                <w:bCs/>
                <w:color w:val="000000"/>
                <w:sz w:val="24"/>
              </w:rPr>
              <w:t>（约</w:t>
            </w:r>
            <w:r>
              <w:rPr>
                <w:rFonts w:ascii="楷体_GB2312" w:hAnsi="楷体" w:eastAsia="楷体_GB2312"/>
                <w:bCs/>
                <w:color w:val="000000"/>
                <w:sz w:val="24"/>
              </w:rPr>
              <w:t>2.7</w:t>
            </w:r>
            <w:r>
              <w:rPr>
                <w:rFonts w:hint="eastAsia" w:ascii="楷体_GB2312" w:hAnsi="楷体" w:eastAsia="楷体_GB2312"/>
                <w:bCs/>
                <w:color w:val="000000"/>
                <w:sz w:val="24"/>
              </w:rPr>
              <w:t>万字）。</w:t>
            </w:r>
            <w:r>
              <w:rPr>
                <w:rFonts w:ascii="楷体_GB2312" w:hAnsi="楷体" w:eastAsia="楷体_GB2312"/>
                <w:b/>
                <w:color w:val="000000"/>
                <w:sz w:val="24"/>
              </w:rPr>
              <w:t>14.</w:t>
            </w:r>
            <w:r>
              <w:rPr>
                <w:rFonts w:ascii="楷体_GB2312" w:hAnsi="楷体" w:eastAsia="楷体_GB2312"/>
                <w:bCs/>
                <w:color w:val="000000"/>
                <w:sz w:val="24"/>
              </w:rPr>
              <w:t>“《法国民法典》对独立担保制度的确立”，</w:t>
            </w:r>
            <w:r>
              <w:rPr>
                <w:rFonts w:ascii="楷体_GB2312" w:hAnsi="楷体" w:eastAsia="楷体_GB2312"/>
                <w:b/>
                <w:color w:val="000000"/>
                <w:sz w:val="24"/>
              </w:rPr>
              <w:t>《社会科学》</w:t>
            </w:r>
            <w:r>
              <w:rPr>
                <w:rFonts w:ascii="楷体_GB2312" w:hAnsi="楷体" w:eastAsia="楷体_GB2312"/>
                <w:bCs/>
                <w:color w:val="000000"/>
                <w:sz w:val="24"/>
              </w:rPr>
              <w:t>2012年第1期</w:t>
            </w:r>
            <w:r>
              <w:rPr>
                <w:rFonts w:hint="eastAsia" w:ascii="楷体_GB2312" w:hAnsi="楷体" w:eastAsia="楷体_GB2312"/>
                <w:bCs/>
                <w:color w:val="000000"/>
                <w:sz w:val="24"/>
              </w:rPr>
              <w:t>（约</w:t>
            </w:r>
            <w:r>
              <w:rPr>
                <w:rFonts w:ascii="楷体_GB2312" w:hAnsi="楷体" w:eastAsia="楷体_GB2312"/>
                <w:bCs/>
                <w:color w:val="000000"/>
                <w:sz w:val="24"/>
              </w:rPr>
              <w:t>1</w:t>
            </w:r>
            <w:r>
              <w:rPr>
                <w:rFonts w:hint="eastAsia" w:ascii="楷体_GB2312" w:hAnsi="楷体" w:eastAsia="楷体_GB2312"/>
                <w:bCs/>
                <w:color w:val="000000"/>
                <w:sz w:val="24"/>
              </w:rPr>
              <w:t>万字）。</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15.</w:t>
            </w:r>
            <w:r>
              <w:rPr>
                <w:rFonts w:ascii="楷体_GB2312" w:hAnsi="楷体" w:eastAsia="楷体_GB2312"/>
                <w:bCs/>
                <w:color w:val="000000"/>
                <w:sz w:val="24"/>
              </w:rPr>
              <w:t>“法国可再负担抵押研究”（一作），</w:t>
            </w:r>
            <w:r>
              <w:rPr>
                <w:rFonts w:ascii="楷体_GB2312" w:hAnsi="楷体" w:eastAsia="楷体_GB2312"/>
                <w:b/>
                <w:color w:val="000000"/>
                <w:sz w:val="24"/>
              </w:rPr>
              <w:t>《法律适用》</w:t>
            </w:r>
            <w:r>
              <w:rPr>
                <w:rFonts w:ascii="楷体_GB2312" w:hAnsi="楷体" w:eastAsia="楷体_GB2312"/>
                <w:bCs/>
                <w:color w:val="000000"/>
                <w:sz w:val="24"/>
              </w:rPr>
              <w:t>2012年第10期</w:t>
            </w:r>
            <w:r>
              <w:rPr>
                <w:rFonts w:hint="eastAsia" w:ascii="楷体_GB2312" w:hAnsi="楷体" w:eastAsia="楷体_GB2312"/>
                <w:bCs/>
                <w:color w:val="000000"/>
                <w:sz w:val="24"/>
              </w:rPr>
              <w:t>（约</w:t>
            </w:r>
            <w:r>
              <w:rPr>
                <w:rFonts w:ascii="楷体_GB2312" w:hAnsi="楷体" w:eastAsia="楷体_GB2312"/>
                <w:bCs/>
                <w:color w:val="000000"/>
                <w:sz w:val="24"/>
              </w:rPr>
              <w:t>8</w:t>
            </w:r>
            <w:r>
              <w:rPr>
                <w:rFonts w:hint="eastAsia" w:ascii="楷体_GB2312" w:hAnsi="楷体" w:eastAsia="楷体_GB2312"/>
                <w:bCs/>
                <w:color w:val="000000"/>
                <w:sz w:val="24"/>
              </w:rPr>
              <w:t>千字）。</w:t>
            </w:r>
            <w:r>
              <w:rPr>
                <w:rFonts w:ascii="楷体_GB2312" w:hAnsi="楷体" w:eastAsia="楷体_GB2312"/>
                <w:b/>
                <w:color w:val="000000"/>
                <w:sz w:val="24"/>
              </w:rPr>
              <w:t>16.</w:t>
            </w:r>
            <w:r>
              <w:rPr>
                <w:rFonts w:ascii="楷体_GB2312" w:hAnsi="楷体" w:eastAsia="楷体_GB2312"/>
                <w:bCs/>
                <w:color w:val="000000"/>
                <w:sz w:val="24"/>
              </w:rPr>
              <w:t>“关于法国担保制度的改革”，</w:t>
            </w:r>
            <w:r>
              <w:rPr>
                <w:rFonts w:ascii="楷体_GB2312" w:hAnsi="楷体" w:eastAsia="楷体_GB2312"/>
                <w:b/>
                <w:color w:val="000000"/>
                <w:sz w:val="24"/>
              </w:rPr>
              <w:t>《政治与法律》</w:t>
            </w:r>
            <w:r>
              <w:rPr>
                <w:rFonts w:ascii="楷体_GB2312" w:hAnsi="楷体" w:eastAsia="楷体_GB2312"/>
                <w:bCs/>
                <w:color w:val="000000"/>
                <w:sz w:val="24"/>
              </w:rPr>
              <w:t>2007年第3期</w:t>
            </w:r>
            <w:r>
              <w:rPr>
                <w:rFonts w:hint="eastAsia" w:ascii="楷体_GB2312" w:hAnsi="楷体" w:eastAsia="楷体_GB2312"/>
                <w:bCs/>
                <w:color w:val="000000"/>
                <w:sz w:val="24"/>
              </w:rPr>
              <w:t>(约</w:t>
            </w:r>
            <w:r>
              <w:rPr>
                <w:rFonts w:ascii="楷体_GB2312" w:hAnsi="楷体" w:eastAsia="楷体_GB2312"/>
                <w:bCs/>
                <w:color w:val="000000"/>
                <w:sz w:val="24"/>
              </w:rPr>
              <w:t>1</w:t>
            </w:r>
            <w:r>
              <w:rPr>
                <w:rFonts w:hint="eastAsia" w:ascii="楷体_GB2312" w:hAnsi="楷体" w:eastAsia="楷体_GB2312"/>
                <w:bCs/>
                <w:color w:val="000000"/>
                <w:sz w:val="24"/>
              </w:rPr>
              <w:t>万字)。</w:t>
            </w:r>
          </w:p>
          <w:p>
            <w:pPr>
              <w:keepNext w:val="0"/>
              <w:keepLines w:val="0"/>
              <w:pageBreakBefore w:val="0"/>
              <w:widowControl w:val="0"/>
              <w:tabs>
                <w:tab w:val="left" w:pos="4185"/>
              </w:tabs>
              <w:kinsoku/>
              <w:wordWrap/>
              <w:overflowPunct/>
              <w:topLinePunct w:val="0"/>
              <w:autoSpaceDE/>
              <w:autoSpaceDN/>
              <w:bidi w:val="0"/>
              <w:adjustRightInd/>
              <w:snapToGrid w:val="0"/>
              <w:spacing w:before="157" w:beforeLines="50" w:after="157" w:afterLines="50"/>
              <w:jc w:val="left"/>
              <w:textAlignment w:val="auto"/>
              <w:rPr>
                <w:rFonts w:hint="eastAsia" w:ascii="宋体" w:hAnsi="宋体"/>
                <w:b/>
                <w:color w:val="000000"/>
                <w:sz w:val="24"/>
              </w:rPr>
            </w:pPr>
            <w:r>
              <w:rPr>
                <w:rFonts w:hint="eastAsia" w:ascii="宋体" w:hAnsi="宋体"/>
                <w:b/>
                <w:color w:val="000000"/>
                <w:sz w:val="24"/>
              </w:rPr>
              <w:t>四、重要外文期刊发表（独立作者，特别备注者除外）</w:t>
            </w:r>
          </w:p>
          <w:p>
            <w:pPr>
              <w:tabs>
                <w:tab w:val="left" w:pos="4185"/>
              </w:tabs>
              <w:snapToGrid w:val="0"/>
              <w:rPr>
                <w:rFonts w:hint="eastAsia" w:ascii="楷体_GB2312" w:hAnsi="楷体" w:eastAsia="楷体_GB2312"/>
                <w:bCs/>
                <w:color w:val="000000"/>
                <w:sz w:val="24"/>
              </w:rPr>
            </w:pPr>
            <w:r>
              <w:rPr>
                <w:rFonts w:ascii="楷体_GB2312" w:hAnsi="楷体" w:eastAsia="楷体_GB2312"/>
                <w:b/>
                <w:color w:val="000000"/>
                <w:sz w:val="24"/>
              </w:rPr>
              <w:t>1.[</w:t>
            </w:r>
            <w:r>
              <w:rPr>
                <w:rFonts w:hint="eastAsia" w:ascii="楷体_GB2312" w:hAnsi="楷体" w:eastAsia="楷体_GB2312"/>
                <w:b/>
                <w:color w:val="000000"/>
                <w:sz w:val="24"/>
              </w:rPr>
              <w:t>法文</w:t>
            </w:r>
            <w:r>
              <w:rPr>
                <w:rFonts w:ascii="楷体_GB2312" w:hAnsi="楷体" w:eastAsia="楷体_GB2312"/>
                <w:b/>
                <w:color w:val="000000"/>
                <w:sz w:val="24"/>
              </w:rPr>
              <w:t>]</w:t>
            </w:r>
            <w:r>
              <w:rPr>
                <w:rFonts w:eastAsia="楷体_GB2312"/>
                <w:bCs/>
                <w:color w:val="000000"/>
                <w:sz w:val="24"/>
              </w:rPr>
              <w:t>“La loi de la République populaire de Chine sur les droits reels”，《Revue Internationale de Droit Comparé》</w:t>
            </w:r>
            <w:r>
              <w:rPr>
                <w:rFonts w:ascii="楷体_GB2312" w:hAnsi="楷体" w:eastAsia="楷体_GB2312"/>
                <w:bCs/>
                <w:color w:val="000000"/>
                <w:sz w:val="24"/>
              </w:rPr>
              <w:t>2009-1</w:t>
            </w:r>
            <w:r>
              <w:rPr>
                <w:rFonts w:hint="eastAsia" w:ascii="楷体_GB2312" w:hAnsi="楷体" w:eastAsia="楷体_GB2312"/>
                <w:bCs/>
                <w:color w:val="000000"/>
                <w:sz w:val="24"/>
              </w:rPr>
              <w:t>（约</w:t>
            </w:r>
            <w:r>
              <w:rPr>
                <w:rFonts w:ascii="楷体_GB2312" w:hAnsi="楷体" w:eastAsia="楷体_GB2312"/>
                <w:bCs/>
                <w:color w:val="000000"/>
                <w:sz w:val="24"/>
              </w:rPr>
              <w:t>8.8</w:t>
            </w:r>
            <w:r>
              <w:rPr>
                <w:rFonts w:hint="eastAsia" w:ascii="楷体_GB2312" w:hAnsi="楷体" w:eastAsia="楷体_GB2312"/>
                <w:bCs/>
                <w:color w:val="000000"/>
                <w:sz w:val="24"/>
              </w:rPr>
              <w:t>千字）。</w:t>
            </w:r>
          </w:p>
          <w:p>
            <w:pPr>
              <w:tabs>
                <w:tab w:val="left" w:pos="4185"/>
              </w:tabs>
              <w:snapToGrid w:val="0"/>
              <w:rPr>
                <w:rFonts w:hint="eastAsia" w:ascii="楷体_GB2312" w:hAnsi="楷体" w:eastAsia="楷体_GB2312"/>
                <w:bCs/>
                <w:color w:val="000000"/>
                <w:sz w:val="24"/>
              </w:rPr>
            </w:pPr>
            <w:r>
              <w:rPr>
                <w:rFonts w:hint="eastAsia" w:ascii="楷体_GB2312" w:hAnsi="楷体" w:eastAsia="楷体_GB2312"/>
                <w:b/>
                <w:color w:val="000000"/>
                <w:sz w:val="24"/>
              </w:rPr>
              <w:t>2</w:t>
            </w:r>
            <w:r>
              <w:rPr>
                <w:rFonts w:ascii="楷体_GB2312" w:hAnsi="楷体" w:eastAsia="楷体_GB2312"/>
                <w:b/>
                <w:color w:val="000000"/>
                <w:sz w:val="24"/>
              </w:rPr>
              <w:t>.[</w:t>
            </w:r>
            <w:r>
              <w:rPr>
                <w:rFonts w:hint="eastAsia" w:ascii="楷体_GB2312" w:hAnsi="楷体" w:eastAsia="楷体_GB2312"/>
                <w:b/>
                <w:color w:val="000000"/>
                <w:sz w:val="24"/>
              </w:rPr>
              <w:t>法文</w:t>
            </w:r>
            <w:r>
              <w:rPr>
                <w:rFonts w:ascii="楷体_GB2312" w:hAnsi="楷体" w:eastAsia="楷体_GB2312"/>
                <w:b/>
                <w:color w:val="000000"/>
                <w:sz w:val="24"/>
              </w:rPr>
              <w:t>]</w:t>
            </w:r>
            <w:r>
              <w:rPr>
                <w:rFonts w:eastAsia="楷体_GB2312"/>
                <w:bCs/>
                <w:color w:val="000000"/>
                <w:sz w:val="24"/>
              </w:rPr>
              <w:t>“Analyse des cas directeurs dans les affaires civiles”</w:t>
            </w:r>
            <w:r>
              <w:rPr>
                <w:rFonts w:hint="eastAsia" w:ascii="楷体_GB2312" w:hAnsi="楷体" w:eastAsia="楷体_GB2312"/>
                <w:bCs/>
                <w:color w:val="000000"/>
                <w:sz w:val="24"/>
              </w:rPr>
              <w:t>（一作）</w:t>
            </w:r>
            <w:r>
              <w:rPr>
                <w:rFonts w:ascii="楷体_GB2312" w:hAnsi="楷体" w:eastAsia="楷体_GB2312"/>
                <w:bCs/>
                <w:color w:val="000000"/>
                <w:sz w:val="24"/>
              </w:rPr>
              <w:t>,</w:t>
            </w:r>
            <w:r>
              <w:rPr>
                <w:rFonts w:eastAsia="楷体_GB2312"/>
                <w:bCs/>
                <w:color w:val="000000"/>
                <w:sz w:val="24"/>
              </w:rPr>
              <w:t>《Revue Internationale de Droit Comparé》</w:t>
            </w:r>
            <w:r>
              <w:rPr>
                <w:rFonts w:ascii="楷体_GB2312" w:hAnsi="楷体" w:eastAsia="楷体_GB2312"/>
                <w:bCs/>
                <w:color w:val="000000"/>
                <w:sz w:val="24"/>
              </w:rPr>
              <w:t>2019</w:t>
            </w:r>
            <w:r>
              <w:rPr>
                <w:rFonts w:hint="eastAsia" w:ascii="楷体_GB2312" w:hAnsi="楷体" w:eastAsia="楷体_GB2312"/>
                <w:bCs/>
                <w:color w:val="000000"/>
                <w:sz w:val="24"/>
              </w:rPr>
              <w:t>-</w:t>
            </w:r>
            <w:r>
              <w:rPr>
                <w:rFonts w:ascii="楷体_GB2312" w:hAnsi="楷体" w:eastAsia="楷体_GB2312"/>
                <w:bCs/>
                <w:color w:val="000000"/>
                <w:sz w:val="24"/>
              </w:rPr>
              <w:t>4</w:t>
            </w:r>
            <w:r>
              <w:rPr>
                <w:rFonts w:hint="eastAsia" w:ascii="楷体_GB2312" w:hAnsi="楷体" w:eastAsia="楷体_GB2312"/>
                <w:bCs/>
                <w:color w:val="000000"/>
                <w:sz w:val="24"/>
              </w:rPr>
              <w:t>（约6千字）。</w:t>
            </w:r>
          </w:p>
          <w:p>
            <w:pPr>
              <w:tabs>
                <w:tab w:val="left" w:pos="4185"/>
              </w:tabs>
              <w:snapToGrid w:val="0"/>
              <w:rPr>
                <w:rFonts w:ascii="楷体_GB2312" w:hAnsi="楷体" w:eastAsia="楷体_GB2312"/>
                <w:bCs/>
                <w:color w:val="000000"/>
                <w:sz w:val="24"/>
              </w:rPr>
            </w:pPr>
            <w:r>
              <w:rPr>
                <w:rFonts w:ascii="楷体_GB2312" w:hAnsi="楷体" w:eastAsia="楷体_GB2312"/>
                <w:b/>
                <w:color w:val="000000"/>
                <w:sz w:val="24"/>
              </w:rPr>
              <w:t>3.[日文</w:t>
            </w:r>
            <w:r>
              <w:rPr>
                <w:rFonts w:hint="eastAsia" w:ascii="楷体_GB2312" w:hAnsi="楷体" w:eastAsia="楷体_GB2312"/>
                <w:b/>
                <w:color w:val="000000"/>
                <w:sz w:val="24"/>
              </w:rPr>
              <w:t>]</w:t>
            </w:r>
            <w:r>
              <w:rPr>
                <w:rFonts w:ascii="楷体_GB2312" w:hAnsi="楷体" w:eastAsia="楷体_GB2312"/>
                <w:bCs/>
                <w:color w:val="000000"/>
                <w:sz w:val="24"/>
              </w:rPr>
              <w:t>“中国消費者権益保護分野における懲罰的損害賠償制度の新たな動向”（一作），《国际商事法务》2017</w:t>
            </w:r>
            <w:r>
              <w:rPr>
                <w:rFonts w:hint="eastAsia" w:ascii="楷体_GB2312" w:hAnsi="楷体" w:eastAsia="楷体_GB2312"/>
                <w:bCs/>
                <w:color w:val="000000"/>
                <w:sz w:val="24"/>
              </w:rPr>
              <w:t>-</w:t>
            </w:r>
            <w:r>
              <w:rPr>
                <w:rFonts w:ascii="楷体_GB2312" w:hAnsi="楷体" w:eastAsia="楷体_GB2312"/>
                <w:bCs/>
                <w:color w:val="000000"/>
                <w:sz w:val="24"/>
              </w:rPr>
              <w:t>3</w:t>
            </w:r>
            <w:r>
              <w:rPr>
                <w:rFonts w:hint="eastAsia" w:ascii="楷体_GB2312" w:hAnsi="楷体" w:eastAsia="楷体_GB2312"/>
                <w:bCs/>
                <w:color w:val="000000"/>
                <w:sz w:val="24"/>
              </w:rPr>
              <w:t>（约1</w:t>
            </w:r>
            <w:r>
              <w:rPr>
                <w:rFonts w:ascii="楷体_GB2312" w:hAnsi="楷体" w:eastAsia="楷体_GB2312"/>
                <w:bCs/>
                <w:color w:val="000000"/>
                <w:sz w:val="24"/>
              </w:rPr>
              <w:t>.2</w:t>
            </w:r>
            <w:r>
              <w:rPr>
                <w:rFonts w:hint="eastAsia" w:ascii="楷体_GB2312" w:hAnsi="楷体" w:eastAsia="楷体_GB2312"/>
                <w:bCs/>
                <w:color w:val="000000"/>
                <w:sz w:val="24"/>
              </w:rPr>
              <w:t>万字）</w:t>
            </w:r>
            <w:r>
              <w:rPr>
                <w:rFonts w:ascii="楷体_GB2312" w:hAnsi="楷体" w:eastAsia="楷体_GB2312"/>
                <w:bCs/>
                <w:color w:val="000000"/>
                <w:sz w:val="24"/>
              </w:rPr>
              <w:t>。</w:t>
            </w:r>
          </w:p>
          <w:p>
            <w:pPr>
              <w:tabs>
                <w:tab w:val="left" w:pos="4185"/>
              </w:tabs>
              <w:snapToGrid w:val="0"/>
              <w:rPr>
                <w:rFonts w:ascii="楷体_GB2312" w:hAnsi="楷体"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2"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cs="Arial"/>
                <w:b/>
                <w:kern w:val="0"/>
                <w:sz w:val="30"/>
                <w:szCs w:val="30"/>
              </w:rPr>
            </w:pPr>
            <w:r>
              <w:rPr>
                <w:rFonts w:cs="Arial"/>
                <w:b/>
                <w:kern w:val="0"/>
                <w:sz w:val="30"/>
                <w:szCs w:val="30"/>
              </w:rPr>
              <w:t>获得奖项</w:t>
            </w:r>
            <w:r>
              <w:rPr>
                <w:rFonts w:hint="eastAsia" w:cs="Arial"/>
                <w:b/>
                <w:kern w:val="0"/>
                <w:sz w:val="30"/>
                <w:szCs w:val="30"/>
              </w:rPr>
              <w:t>和表彰</w:t>
            </w:r>
          </w:p>
          <w:p>
            <w:pPr>
              <w:tabs>
                <w:tab w:val="left" w:pos="4185"/>
              </w:tabs>
              <w:snapToGrid w:val="0"/>
              <w:jc w:val="center"/>
              <w:rPr>
                <w:rFonts w:ascii="楷体" w:hAnsi="楷体" w:eastAsia="楷体" w:cs="Arial"/>
                <w:b/>
                <w:kern w:val="0"/>
                <w:sz w:val="24"/>
              </w:rPr>
            </w:pPr>
            <w:r>
              <w:rPr>
                <w:rFonts w:hint="eastAsia" w:ascii="楷体" w:hAnsi="楷体" w:eastAsia="楷体" w:cs="Arial"/>
                <w:b/>
                <w:kern w:val="0"/>
                <w:sz w:val="24"/>
              </w:rPr>
              <w:t>（请注明获得时间及等级）</w:t>
            </w:r>
          </w:p>
          <w:p>
            <w:pPr>
              <w:tabs>
                <w:tab w:val="left" w:pos="4185"/>
              </w:tabs>
              <w:snapToGrid w:val="0"/>
              <w:jc w:val="center"/>
              <w:rPr>
                <w:rFonts w:cs="Arial"/>
                <w:kern w:val="0"/>
                <w:sz w:val="32"/>
                <w:szCs w:val="32"/>
              </w:rPr>
            </w:pPr>
          </w:p>
          <w:p>
            <w:pPr>
              <w:tabs>
                <w:tab w:val="left" w:pos="4185"/>
              </w:tabs>
              <w:snapToGrid w:val="0"/>
              <w:jc w:val="center"/>
              <w:rPr>
                <w:rFonts w:cs="Arial"/>
                <w:bCs/>
                <w:kern w:val="0"/>
                <w:sz w:val="32"/>
                <w:szCs w:val="32"/>
              </w:rPr>
            </w:pPr>
            <w:r>
              <w:rPr>
                <w:rFonts w:hint="eastAsia" w:cs="Arial"/>
                <w:bCs/>
                <w:kern w:val="0"/>
                <w:sz w:val="32"/>
                <w:szCs w:val="32"/>
              </w:rPr>
              <w:t>推荐候选人李世刚近5年获得的省部级以上荣誉及表彰如下：</w:t>
            </w:r>
          </w:p>
          <w:p>
            <w:pPr>
              <w:tabs>
                <w:tab w:val="left" w:pos="4185"/>
              </w:tabs>
              <w:snapToGrid w:val="0"/>
              <w:jc w:val="center"/>
              <w:rPr>
                <w:rFonts w:cs="Arial"/>
                <w:bCs/>
                <w:kern w:val="0"/>
                <w:sz w:val="32"/>
                <w:szCs w:val="32"/>
              </w:rPr>
            </w:pPr>
          </w:p>
          <w:p>
            <w:pPr>
              <w:tabs>
                <w:tab w:val="left" w:pos="4185"/>
              </w:tabs>
              <w:snapToGrid w:val="0"/>
              <w:jc w:val="center"/>
              <w:rPr>
                <w:rFonts w:ascii="宋体" w:hAnsi="宋体" w:cs="Arial"/>
                <w:b/>
                <w:kern w:val="0"/>
                <w:sz w:val="32"/>
                <w:szCs w:val="32"/>
              </w:rPr>
            </w:pPr>
            <w:r>
              <w:rPr>
                <w:rFonts w:hint="eastAsia" w:ascii="宋体" w:hAnsi="宋体" w:cs="Arial"/>
                <w:b/>
                <w:kern w:val="0"/>
                <w:sz w:val="32"/>
                <w:szCs w:val="32"/>
              </w:rPr>
              <w:t>一、荣誉称号</w:t>
            </w:r>
          </w:p>
          <w:p>
            <w:pPr>
              <w:tabs>
                <w:tab w:val="left" w:pos="4185"/>
              </w:tabs>
              <w:snapToGrid w:val="0"/>
              <w:jc w:val="center"/>
              <w:rPr>
                <w:rFonts w:cs="Arial"/>
                <w:bCs/>
                <w:kern w:val="0"/>
                <w:sz w:val="32"/>
                <w:szCs w:val="32"/>
              </w:rPr>
            </w:pPr>
            <w:r>
              <w:rPr>
                <w:rFonts w:cs="Arial"/>
                <w:bCs/>
                <w:kern w:val="0"/>
                <w:sz w:val="32"/>
                <w:szCs w:val="32"/>
              </w:rPr>
              <w:t>第七届“</w:t>
            </w:r>
            <w:r>
              <w:rPr>
                <w:rFonts w:cs="Arial"/>
                <w:b/>
                <w:kern w:val="0"/>
                <w:sz w:val="32"/>
                <w:szCs w:val="32"/>
              </w:rPr>
              <w:t>上海市杰出青年法学家</w:t>
            </w:r>
            <w:r>
              <w:rPr>
                <w:rFonts w:cs="Arial"/>
                <w:bCs/>
                <w:kern w:val="0"/>
                <w:sz w:val="32"/>
                <w:szCs w:val="32"/>
              </w:rPr>
              <w:t>”</w:t>
            </w:r>
            <w:r>
              <w:rPr>
                <w:rFonts w:hint="eastAsia" w:cs="Arial"/>
                <w:bCs/>
                <w:kern w:val="0"/>
                <w:sz w:val="32"/>
                <w:szCs w:val="32"/>
              </w:rPr>
              <w:t>（2</w:t>
            </w:r>
            <w:r>
              <w:rPr>
                <w:rFonts w:cs="Arial"/>
                <w:bCs/>
                <w:kern w:val="0"/>
                <w:sz w:val="32"/>
                <w:szCs w:val="32"/>
              </w:rPr>
              <w:t>021</w:t>
            </w:r>
            <w:r>
              <w:rPr>
                <w:rFonts w:hint="eastAsia" w:cs="Arial"/>
                <w:bCs/>
                <w:kern w:val="0"/>
                <w:sz w:val="32"/>
                <w:szCs w:val="32"/>
              </w:rPr>
              <w:t>年）。</w:t>
            </w:r>
          </w:p>
          <w:p>
            <w:pPr>
              <w:tabs>
                <w:tab w:val="left" w:pos="4185"/>
              </w:tabs>
              <w:snapToGrid w:val="0"/>
              <w:jc w:val="center"/>
              <w:rPr>
                <w:rFonts w:cs="Arial"/>
                <w:bCs/>
                <w:kern w:val="0"/>
                <w:sz w:val="32"/>
                <w:szCs w:val="32"/>
              </w:rPr>
            </w:pPr>
          </w:p>
          <w:p>
            <w:pPr>
              <w:tabs>
                <w:tab w:val="left" w:pos="4185"/>
              </w:tabs>
              <w:snapToGrid w:val="0"/>
              <w:jc w:val="center"/>
              <w:rPr>
                <w:rFonts w:ascii="宋体" w:hAnsi="宋体" w:cs="Arial"/>
                <w:b/>
                <w:kern w:val="0"/>
                <w:sz w:val="32"/>
                <w:szCs w:val="32"/>
              </w:rPr>
            </w:pPr>
            <w:r>
              <w:rPr>
                <w:rFonts w:hint="eastAsia" w:ascii="宋体" w:hAnsi="宋体" w:cs="Arial"/>
                <w:b/>
                <w:kern w:val="0"/>
                <w:sz w:val="32"/>
                <w:szCs w:val="32"/>
              </w:rPr>
              <w:t>二、教学类</w:t>
            </w:r>
          </w:p>
          <w:p>
            <w:pPr>
              <w:tabs>
                <w:tab w:val="left" w:pos="4185"/>
              </w:tabs>
              <w:snapToGrid w:val="0"/>
              <w:jc w:val="center"/>
              <w:rPr>
                <w:rFonts w:cs="Arial"/>
                <w:bCs/>
                <w:kern w:val="0"/>
                <w:sz w:val="32"/>
                <w:szCs w:val="32"/>
              </w:rPr>
            </w:pPr>
            <w:r>
              <w:rPr>
                <w:rFonts w:hint="eastAsia" w:cs="Arial"/>
                <w:b/>
                <w:kern w:val="0"/>
                <w:sz w:val="32"/>
                <w:szCs w:val="32"/>
              </w:rPr>
              <w:t>全国新闻与传播专业学位优秀教学案例</w:t>
            </w:r>
            <w:r>
              <w:rPr>
                <w:rFonts w:hint="eastAsia" w:cs="Arial"/>
                <w:bCs/>
                <w:kern w:val="0"/>
                <w:sz w:val="32"/>
                <w:szCs w:val="32"/>
              </w:rPr>
              <w:t>三等奖（2020年）；</w:t>
            </w:r>
          </w:p>
          <w:p>
            <w:pPr>
              <w:tabs>
                <w:tab w:val="left" w:pos="4185"/>
              </w:tabs>
              <w:snapToGrid w:val="0"/>
              <w:jc w:val="center"/>
              <w:rPr>
                <w:rFonts w:cs="Arial"/>
                <w:bCs/>
                <w:kern w:val="0"/>
                <w:sz w:val="32"/>
                <w:szCs w:val="32"/>
              </w:rPr>
            </w:pPr>
            <w:r>
              <w:rPr>
                <w:rFonts w:hint="eastAsia" w:cs="Arial"/>
                <w:bCs/>
                <w:kern w:val="0"/>
                <w:sz w:val="32"/>
                <w:szCs w:val="32"/>
              </w:rPr>
              <w:t xml:space="preserve"> </w:t>
            </w:r>
            <w:r>
              <w:rPr>
                <w:rFonts w:hint="eastAsia" w:cs="Arial"/>
                <w:b/>
                <w:kern w:val="0"/>
                <w:sz w:val="32"/>
                <w:szCs w:val="32"/>
              </w:rPr>
              <w:t>上海高校市级重点课程</w:t>
            </w:r>
            <w:r>
              <w:rPr>
                <w:rFonts w:hint="eastAsia" w:cs="Arial"/>
                <w:bCs/>
                <w:kern w:val="0"/>
                <w:sz w:val="32"/>
                <w:szCs w:val="32"/>
              </w:rPr>
              <w:t>（线上线下混合式课程类）（2</w:t>
            </w:r>
            <w:r>
              <w:rPr>
                <w:rFonts w:cs="Arial"/>
                <w:bCs/>
                <w:kern w:val="0"/>
                <w:sz w:val="32"/>
                <w:szCs w:val="32"/>
              </w:rPr>
              <w:t>020</w:t>
            </w:r>
            <w:r>
              <w:rPr>
                <w:rFonts w:hint="eastAsia" w:cs="Arial"/>
                <w:bCs/>
                <w:kern w:val="0"/>
                <w:sz w:val="32"/>
                <w:szCs w:val="32"/>
              </w:rPr>
              <w:t>年）。</w:t>
            </w:r>
          </w:p>
          <w:p>
            <w:pPr>
              <w:tabs>
                <w:tab w:val="left" w:pos="4185"/>
              </w:tabs>
              <w:snapToGrid w:val="0"/>
              <w:jc w:val="center"/>
              <w:rPr>
                <w:rFonts w:cs="Arial"/>
                <w:bCs/>
                <w:kern w:val="0"/>
                <w:sz w:val="32"/>
                <w:szCs w:val="32"/>
              </w:rPr>
            </w:pPr>
          </w:p>
          <w:p>
            <w:pPr>
              <w:tabs>
                <w:tab w:val="left" w:pos="4185"/>
              </w:tabs>
              <w:snapToGrid w:val="0"/>
              <w:jc w:val="center"/>
              <w:rPr>
                <w:rFonts w:ascii="宋体" w:hAnsi="宋体" w:cs="Arial"/>
                <w:b/>
                <w:kern w:val="0"/>
                <w:sz w:val="32"/>
                <w:szCs w:val="32"/>
              </w:rPr>
            </w:pPr>
            <w:r>
              <w:rPr>
                <w:rFonts w:hint="eastAsia" w:ascii="宋体" w:hAnsi="宋体" w:cs="Arial"/>
                <w:b/>
                <w:kern w:val="0"/>
                <w:sz w:val="32"/>
                <w:szCs w:val="32"/>
              </w:rPr>
              <w:t>三、科研类</w:t>
            </w:r>
          </w:p>
          <w:p>
            <w:pPr>
              <w:tabs>
                <w:tab w:val="left" w:pos="4185"/>
              </w:tabs>
              <w:snapToGrid w:val="0"/>
              <w:jc w:val="center"/>
              <w:rPr>
                <w:rFonts w:cs="Arial"/>
                <w:bCs/>
                <w:kern w:val="0"/>
                <w:sz w:val="32"/>
                <w:szCs w:val="32"/>
              </w:rPr>
            </w:pPr>
            <w:r>
              <w:rPr>
                <w:rFonts w:hint="eastAsia" w:cs="Arial"/>
                <w:b/>
                <w:kern w:val="0"/>
                <w:sz w:val="32"/>
                <w:szCs w:val="32"/>
              </w:rPr>
              <w:t>上海市第十四届哲学社会科学优秀成果奖</w:t>
            </w:r>
            <w:r>
              <w:rPr>
                <w:rFonts w:hint="eastAsia" w:cs="Arial"/>
                <w:bCs/>
                <w:kern w:val="0"/>
                <w:sz w:val="32"/>
                <w:szCs w:val="32"/>
              </w:rPr>
              <w:t>（学科学术奖论文类）二等奖（2</w:t>
            </w:r>
            <w:r>
              <w:rPr>
                <w:rFonts w:cs="Arial"/>
                <w:bCs/>
                <w:kern w:val="0"/>
                <w:sz w:val="32"/>
                <w:szCs w:val="32"/>
              </w:rPr>
              <w:t>018</w:t>
            </w:r>
            <w:r>
              <w:rPr>
                <w:rFonts w:hint="eastAsia" w:cs="Arial"/>
                <w:bCs/>
                <w:kern w:val="0"/>
                <w:sz w:val="32"/>
                <w:szCs w:val="32"/>
              </w:rPr>
              <w:t>年）。</w:t>
            </w: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p>
            <w:pPr>
              <w:tabs>
                <w:tab w:val="left" w:pos="4185"/>
              </w:tabs>
              <w:snapToGrid w:val="0"/>
              <w:jc w:val="center"/>
              <w:rPr>
                <w:rFonts w:cs="Arial"/>
                <w:kern w:val="0"/>
                <w:sz w:val="32"/>
                <w:szCs w:val="32"/>
              </w:rPr>
            </w:pPr>
          </w:p>
        </w:tc>
      </w:tr>
    </w:tbl>
    <w:p>
      <w:pPr>
        <w:spacing w:line="20" w:lineRule="exact"/>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20B0604020202020204"/>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24C2"/>
    <w:multiLevelType w:val="singleLevel"/>
    <w:tmpl w:val="CF7B24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WNjNDYyYTNmOTgxMGY2OWQ2MmJlMDMyM2M5ZmIifQ=="/>
  </w:docVars>
  <w:rsids>
    <w:rsidRoot w:val="AFFF087D"/>
    <w:rsid w:val="00012D14"/>
    <w:rsid w:val="00012EA6"/>
    <w:rsid w:val="00020C37"/>
    <w:rsid w:val="000366B5"/>
    <w:rsid w:val="000466E8"/>
    <w:rsid w:val="00061A15"/>
    <w:rsid w:val="0008096A"/>
    <w:rsid w:val="000C429E"/>
    <w:rsid w:val="000F0DDA"/>
    <w:rsid w:val="000F38C9"/>
    <w:rsid w:val="0010769A"/>
    <w:rsid w:val="00107FD0"/>
    <w:rsid w:val="001222B0"/>
    <w:rsid w:val="0017265C"/>
    <w:rsid w:val="00174583"/>
    <w:rsid w:val="00185EEA"/>
    <w:rsid w:val="001E3903"/>
    <w:rsid w:val="00224728"/>
    <w:rsid w:val="00230489"/>
    <w:rsid w:val="00253820"/>
    <w:rsid w:val="00255DB3"/>
    <w:rsid w:val="00281DDB"/>
    <w:rsid w:val="0029372E"/>
    <w:rsid w:val="002A2545"/>
    <w:rsid w:val="002A2887"/>
    <w:rsid w:val="002B70E3"/>
    <w:rsid w:val="002C28C0"/>
    <w:rsid w:val="002F130E"/>
    <w:rsid w:val="002F15BC"/>
    <w:rsid w:val="00300B36"/>
    <w:rsid w:val="003043E8"/>
    <w:rsid w:val="003064C3"/>
    <w:rsid w:val="00307192"/>
    <w:rsid w:val="00332D1B"/>
    <w:rsid w:val="00347E1D"/>
    <w:rsid w:val="003564A5"/>
    <w:rsid w:val="0036420A"/>
    <w:rsid w:val="003B6648"/>
    <w:rsid w:val="003D1C97"/>
    <w:rsid w:val="003E274B"/>
    <w:rsid w:val="003E3562"/>
    <w:rsid w:val="003E4217"/>
    <w:rsid w:val="00421FD2"/>
    <w:rsid w:val="004312F6"/>
    <w:rsid w:val="0046477B"/>
    <w:rsid w:val="0049393D"/>
    <w:rsid w:val="004A1340"/>
    <w:rsid w:val="004B15AA"/>
    <w:rsid w:val="0052358C"/>
    <w:rsid w:val="00527699"/>
    <w:rsid w:val="00543EC3"/>
    <w:rsid w:val="005555AA"/>
    <w:rsid w:val="00570E9E"/>
    <w:rsid w:val="005719B4"/>
    <w:rsid w:val="00586414"/>
    <w:rsid w:val="00595ABB"/>
    <w:rsid w:val="00600E8A"/>
    <w:rsid w:val="00624A1A"/>
    <w:rsid w:val="00652AEE"/>
    <w:rsid w:val="00681353"/>
    <w:rsid w:val="00683F2A"/>
    <w:rsid w:val="00693184"/>
    <w:rsid w:val="007314BB"/>
    <w:rsid w:val="00731788"/>
    <w:rsid w:val="0074763B"/>
    <w:rsid w:val="00750A85"/>
    <w:rsid w:val="007556F4"/>
    <w:rsid w:val="0076487E"/>
    <w:rsid w:val="007B620B"/>
    <w:rsid w:val="007C1B34"/>
    <w:rsid w:val="007C5320"/>
    <w:rsid w:val="008403CE"/>
    <w:rsid w:val="00841457"/>
    <w:rsid w:val="00842EF1"/>
    <w:rsid w:val="00853D86"/>
    <w:rsid w:val="00865CEB"/>
    <w:rsid w:val="00873609"/>
    <w:rsid w:val="008759F3"/>
    <w:rsid w:val="008B14F2"/>
    <w:rsid w:val="00937663"/>
    <w:rsid w:val="00981FDE"/>
    <w:rsid w:val="0098520D"/>
    <w:rsid w:val="0099459A"/>
    <w:rsid w:val="009B30EF"/>
    <w:rsid w:val="009C6A65"/>
    <w:rsid w:val="009E18C3"/>
    <w:rsid w:val="009F6D01"/>
    <w:rsid w:val="009F7C8F"/>
    <w:rsid w:val="00A31A7A"/>
    <w:rsid w:val="00A327FE"/>
    <w:rsid w:val="00A37B23"/>
    <w:rsid w:val="00A4127A"/>
    <w:rsid w:val="00A733FC"/>
    <w:rsid w:val="00A86F3D"/>
    <w:rsid w:val="00AC000F"/>
    <w:rsid w:val="00B00109"/>
    <w:rsid w:val="00B1124D"/>
    <w:rsid w:val="00B41A56"/>
    <w:rsid w:val="00B4231E"/>
    <w:rsid w:val="00B42AE1"/>
    <w:rsid w:val="00B609F3"/>
    <w:rsid w:val="00B70531"/>
    <w:rsid w:val="00B760E5"/>
    <w:rsid w:val="00B8482F"/>
    <w:rsid w:val="00B9768E"/>
    <w:rsid w:val="00BF0FE9"/>
    <w:rsid w:val="00BF19B4"/>
    <w:rsid w:val="00C11AB0"/>
    <w:rsid w:val="00C504C6"/>
    <w:rsid w:val="00C60219"/>
    <w:rsid w:val="00C84AF7"/>
    <w:rsid w:val="00CC648D"/>
    <w:rsid w:val="00D00DB9"/>
    <w:rsid w:val="00D31A0B"/>
    <w:rsid w:val="00D36CCA"/>
    <w:rsid w:val="00D4441A"/>
    <w:rsid w:val="00DC7941"/>
    <w:rsid w:val="00DD34DE"/>
    <w:rsid w:val="00DF38C7"/>
    <w:rsid w:val="00E402DF"/>
    <w:rsid w:val="00E65E76"/>
    <w:rsid w:val="00E86F3E"/>
    <w:rsid w:val="00E87EE6"/>
    <w:rsid w:val="00E94A59"/>
    <w:rsid w:val="00EA2D3E"/>
    <w:rsid w:val="00F32D4F"/>
    <w:rsid w:val="00F35233"/>
    <w:rsid w:val="00F4269A"/>
    <w:rsid w:val="00F5518E"/>
    <w:rsid w:val="00FB06D9"/>
    <w:rsid w:val="00FB5019"/>
    <w:rsid w:val="00FB7380"/>
    <w:rsid w:val="06B94DC3"/>
    <w:rsid w:val="0A344626"/>
    <w:rsid w:val="0BEC657C"/>
    <w:rsid w:val="0E5D51D1"/>
    <w:rsid w:val="1EBD9178"/>
    <w:rsid w:val="246C77EB"/>
    <w:rsid w:val="28A47EDD"/>
    <w:rsid w:val="2BFD1C4C"/>
    <w:rsid w:val="2CEFB339"/>
    <w:rsid w:val="2EFBBC48"/>
    <w:rsid w:val="30B3F778"/>
    <w:rsid w:val="34DB0C66"/>
    <w:rsid w:val="3B9D0C2F"/>
    <w:rsid w:val="3BBF1B45"/>
    <w:rsid w:val="3DFF8C80"/>
    <w:rsid w:val="3FAC72FC"/>
    <w:rsid w:val="3FDF6C0E"/>
    <w:rsid w:val="3FE95ABC"/>
    <w:rsid w:val="45E75A7F"/>
    <w:rsid w:val="471774B7"/>
    <w:rsid w:val="54BF2D75"/>
    <w:rsid w:val="56EEFD7E"/>
    <w:rsid w:val="57B74E1B"/>
    <w:rsid w:val="591FD8F5"/>
    <w:rsid w:val="5AAC40BB"/>
    <w:rsid w:val="5DD32290"/>
    <w:rsid w:val="5DE7602F"/>
    <w:rsid w:val="5DF46E1D"/>
    <w:rsid w:val="5DFEE7D4"/>
    <w:rsid w:val="5EF73EF3"/>
    <w:rsid w:val="5F3743E3"/>
    <w:rsid w:val="5FBC2178"/>
    <w:rsid w:val="62F7E429"/>
    <w:rsid w:val="65666027"/>
    <w:rsid w:val="6CFE92D2"/>
    <w:rsid w:val="6DB1DE8E"/>
    <w:rsid w:val="6F9B4CF3"/>
    <w:rsid w:val="6FAF0381"/>
    <w:rsid w:val="6FFF2EC6"/>
    <w:rsid w:val="75280065"/>
    <w:rsid w:val="783650FB"/>
    <w:rsid w:val="7A8FFAC6"/>
    <w:rsid w:val="7AFB59A5"/>
    <w:rsid w:val="7BDFCBFF"/>
    <w:rsid w:val="7CFECE28"/>
    <w:rsid w:val="7DB18C74"/>
    <w:rsid w:val="7DBAEB37"/>
    <w:rsid w:val="7DBF1A34"/>
    <w:rsid w:val="7DEB2C32"/>
    <w:rsid w:val="7DFF523D"/>
    <w:rsid w:val="7E5F3199"/>
    <w:rsid w:val="7EF35ADA"/>
    <w:rsid w:val="7EFB62DD"/>
    <w:rsid w:val="7F7B04A8"/>
    <w:rsid w:val="7F7BFEC8"/>
    <w:rsid w:val="7F7EF37E"/>
    <w:rsid w:val="7F950876"/>
    <w:rsid w:val="7FA5EC14"/>
    <w:rsid w:val="7FBF49CA"/>
    <w:rsid w:val="7FD7D6B2"/>
    <w:rsid w:val="7FF37BAA"/>
    <w:rsid w:val="9DBC5BFE"/>
    <w:rsid w:val="A7EB79A2"/>
    <w:rsid w:val="ABC2528A"/>
    <w:rsid w:val="ABFD3B40"/>
    <w:rsid w:val="AE8F304D"/>
    <w:rsid w:val="AFFF087D"/>
    <w:rsid w:val="B7D56515"/>
    <w:rsid w:val="B9EF54B5"/>
    <w:rsid w:val="BE3FDE16"/>
    <w:rsid w:val="BEFF65E4"/>
    <w:rsid w:val="D0FF8CD6"/>
    <w:rsid w:val="D7371D03"/>
    <w:rsid w:val="D7FE4373"/>
    <w:rsid w:val="DE6EFD68"/>
    <w:rsid w:val="DE7F24A6"/>
    <w:rsid w:val="E99F9932"/>
    <w:rsid w:val="ED661AE8"/>
    <w:rsid w:val="EDFF9236"/>
    <w:rsid w:val="EEFDCF1B"/>
    <w:rsid w:val="EF358C7A"/>
    <w:rsid w:val="EFBFEC5E"/>
    <w:rsid w:val="EFCA4A39"/>
    <w:rsid w:val="F1D5116C"/>
    <w:rsid w:val="F2715785"/>
    <w:rsid w:val="F3D759E3"/>
    <w:rsid w:val="F7686E7A"/>
    <w:rsid w:val="F7AF7DD2"/>
    <w:rsid w:val="FAFBA160"/>
    <w:rsid w:val="FBDBA10B"/>
    <w:rsid w:val="FBF77622"/>
    <w:rsid w:val="FD5D1B02"/>
    <w:rsid w:val="FDDF84B7"/>
    <w:rsid w:val="FE7F89ED"/>
    <w:rsid w:val="FF6D7F3E"/>
    <w:rsid w:val="FFAD001C"/>
    <w:rsid w:val="FFBF67D3"/>
    <w:rsid w:val="FFD77033"/>
    <w:rsid w:val="FFDF0543"/>
    <w:rsid w:val="FFDF0FB2"/>
    <w:rsid w:val="FFFCC2B3"/>
    <w:rsid w:val="FFFFF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qFormat/>
    <w:uiPriority w:val="0"/>
    <w:rPr>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6879</Words>
  <Characters>7521</Characters>
  <Lines>85</Lines>
  <Paragraphs>24</Paragraphs>
  <TotalTime>41</TotalTime>
  <ScaleCrop>false</ScaleCrop>
  <LinksUpToDate>false</LinksUpToDate>
  <CharactersWithSpaces>7729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2022-12-28T19:44:00Z</dcterms:created>
  <dc:creator>fxhuser</dc:creator>
  <cp:lastModifiedBy>执牛耳</cp:lastModifiedBy>
  <cp:lastPrinted>2023-03-07T23:32:00Z</cp:lastPrinted>
  <dcterms:modified xsi:type="dcterms:W3CDTF">2023-04-27T06:40:01Z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3E7D45811FAE42B88CA2D82F58A00B1A</vt:lpwstr>
  </property>
</Properties>
</file>