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color="auto" w:fill="FFFFFF"/>
        <w:spacing w:line="540" w:lineRule="exact"/>
        <w:rPr>
          <w:rFonts w:ascii="仿宋_GB2312" w:hAnsi="宋体" w:eastAsia="仿宋"/>
          <w:bCs/>
          <w:color w:val="000000"/>
          <w:kern w:val="0"/>
          <w:sz w:val="32"/>
          <w:szCs w:val="32"/>
        </w:rPr>
      </w:pPr>
      <w:r>
        <w:rPr>
          <w:rFonts w:hint="eastAsia" w:ascii="仿宋" w:hAnsi="仿宋" w:eastAsia="仿宋" w:cs="Arial"/>
          <w:kern w:val="0"/>
          <w:sz w:val="32"/>
          <w:szCs w:val="32"/>
        </w:rPr>
        <w:t>附件2</w:t>
      </w:r>
    </w:p>
    <w:p>
      <w:pPr>
        <w:jc w:val="center"/>
        <w:rPr>
          <w:rFonts w:ascii="宋体" w:hAnsi="宋体"/>
          <w:b/>
          <w:bCs/>
          <w:sz w:val="32"/>
          <w:szCs w:val="32"/>
        </w:rPr>
      </w:pPr>
    </w:p>
    <w:p>
      <w:pPr>
        <w:jc w:val="center"/>
      </w:pPr>
    </w:p>
    <w:p>
      <w:pPr>
        <w:jc w:val="center"/>
      </w:pPr>
      <w:r>
        <w:drawing>
          <wp:inline distT="0" distB="0" distL="0" distR="0">
            <wp:extent cx="1483995" cy="142875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83995" cy="1428750"/>
                    </a:xfrm>
                    <a:prstGeom prst="rect">
                      <a:avLst/>
                    </a:prstGeom>
                    <a:noFill/>
                    <a:ln>
                      <a:noFill/>
                    </a:ln>
                  </pic:spPr>
                </pic:pic>
              </a:graphicData>
            </a:graphic>
          </wp:inline>
        </w:drawing>
      </w:r>
    </w:p>
    <w:p/>
    <w:p/>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第十届“全国杰出青年法学家”</w:t>
      </w:r>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推荐表</w:t>
      </w:r>
    </w:p>
    <w:p/>
    <w:p/>
    <w:p/>
    <w:p/>
    <w:p/>
    <w:p/>
    <w:p>
      <w:pPr>
        <w:snapToGrid w:val="0"/>
        <w:rPr>
          <w:sz w:val="28"/>
          <w:szCs w:val="28"/>
        </w:rPr>
      </w:pPr>
    </w:p>
    <w:p>
      <w:pPr>
        <w:snapToGrid w:val="0"/>
        <w:rPr>
          <w:sz w:val="28"/>
          <w:szCs w:val="28"/>
        </w:rPr>
      </w:pPr>
    </w:p>
    <w:p>
      <w:pPr>
        <w:snapToGrid w:val="0"/>
        <w:rPr>
          <w:sz w:val="28"/>
          <w:szCs w:val="28"/>
        </w:rPr>
      </w:pPr>
    </w:p>
    <w:p>
      <w:pPr>
        <w:snapToGrid w:val="0"/>
        <w:ind w:firstLine="643" w:firstLineChars="200"/>
        <w:rPr>
          <w:rFonts w:eastAsia="仿宋_GB2312"/>
          <w:b/>
          <w:bCs/>
          <w:sz w:val="32"/>
          <w:szCs w:val="32"/>
          <w:u w:val="single"/>
        </w:rPr>
      </w:pPr>
      <w:r>
        <w:rPr>
          <w:rFonts w:hint="eastAsia" w:eastAsia="仿宋_GB2312"/>
          <w:b/>
          <w:bCs/>
          <w:sz w:val="32"/>
          <w:szCs w:val="32"/>
        </w:rPr>
        <w:t>姓    名</w:t>
      </w:r>
      <w:r>
        <w:rPr>
          <w:rFonts w:hint="eastAsia" w:eastAsia="仿宋_GB2312"/>
          <w:b/>
          <w:bCs/>
          <w:sz w:val="32"/>
          <w:szCs w:val="32"/>
          <w:u w:val="single"/>
        </w:rPr>
        <w:t xml:space="preserve">           陈 璇                   </w:t>
      </w:r>
    </w:p>
    <w:p>
      <w:pPr>
        <w:snapToGrid w:val="0"/>
        <w:rPr>
          <w:rFonts w:eastAsia="仿宋_GB2312"/>
          <w:b/>
          <w:bCs/>
          <w:sz w:val="28"/>
          <w:szCs w:val="28"/>
          <w:u w:val="single"/>
        </w:rPr>
      </w:pPr>
    </w:p>
    <w:p>
      <w:pPr>
        <w:snapToGrid w:val="0"/>
        <w:ind w:firstLine="643" w:firstLineChars="200"/>
        <w:rPr>
          <w:rFonts w:eastAsia="仿宋_GB2312"/>
          <w:b/>
          <w:bCs/>
          <w:sz w:val="32"/>
          <w:szCs w:val="32"/>
          <w:u w:val="single"/>
        </w:rPr>
      </w:pPr>
      <w:r>
        <w:rPr>
          <w:rFonts w:hint="eastAsia" w:eastAsia="仿宋_GB2312"/>
          <w:b/>
          <w:bCs/>
          <w:sz w:val="32"/>
          <w:szCs w:val="32"/>
        </w:rPr>
        <w:t>工作单位</w:t>
      </w:r>
      <w:r>
        <w:rPr>
          <w:rFonts w:hint="eastAsia" w:eastAsia="仿宋_GB2312"/>
          <w:b/>
          <w:bCs/>
          <w:sz w:val="32"/>
          <w:szCs w:val="32"/>
          <w:u w:val="single"/>
        </w:rPr>
        <w:t xml:space="preserve">     中国人民大学法学院             </w:t>
      </w:r>
    </w:p>
    <w:p>
      <w:pPr>
        <w:snapToGrid w:val="0"/>
        <w:rPr>
          <w:rFonts w:eastAsia="仿宋_GB2312"/>
          <w:b/>
          <w:bCs/>
          <w:sz w:val="28"/>
          <w:szCs w:val="28"/>
          <w:u w:val="single"/>
        </w:rPr>
      </w:pPr>
    </w:p>
    <w:p>
      <w:pPr>
        <w:snapToGrid w:val="0"/>
        <w:ind w:firstLine="643" w:firstLineChars="200"/>
        <w:rPr>
          <w:rFonts w:hint="eastAsia" w:eastAsia="仿宋_GB2312"/>
          <w:b/>
          <w:bCs/>
          <w:sz w:val="32"/>
          <w:szCs w:val="32"/>
          <w:u w:val="single"/>
        </w:rPr>
      </w:pPr>
      <w:r>
        <w:rPr>
          <w:rFonts w:hint="eastAsia" w:eastAsia="仿宋_GB2312"/>
          <w:b/>
          <w:bCs/>
          <w:sz w:val="32"/>
          <w:szCs w:val="32"/>
        </w:rPr>
        <w:t>推荐单位</w:t>
      </w:r>
      <w:r>
        <w:rPr>
          <w:rFonts w:hint="eastAsia" w:eastAsia="仿宋_GB2312"/>
          <w:b/>
          <w:bCs/>
          <w:sz w:val="32"/>
          <w:szCs w:val="32"/>
          <w:u w:val="single"/>
        </w:rPr>
        <w:t xml:space="preserve">       </w:t>
      </w:r>
      <w:r>
        <w:rPr>
          <w:rFonts w:hint="eastAsia" w:eastAsia="仿宋_GB2312"/>
          <w:b/>
          <w:bCs/>
          <w:sz w:val="32"/>
          <w:szCs w:val="32"/>
          <w:u w:val="single"/>
          <w:lang w:val="en-US" w:eastAsia="zh-Hans"/>
        </w:rPr>
        <w:t>中国刑法学研究会</w:t>
      </w:r>
      <w:r>
        <w:rPr>
          <w:rFonts w:hint="eastAsia" w:eastAsia="仿宋_GB2312"/>
          <w:b/>
          <w:bCs/>
          <w:sz w:val="32"/>
          <w:szCs w:val="32"/>
          <w:u w:val="single"/>
        </w:rPr>
        <w:t xml:space="preserve">         </w:t>
      </w:r>
      <w:r>
        <w:rPr>
          <w:rFonts w:hint="default" w:eastAsia="仿宋_GB2312"/>
          <w:b/>
          <w:bCs/>
          <w:sz w:val="32"/>
          <w:szCs w:val="32"/>
          <w:u w:val="single"/>
        </w:rPr>
        <w:t xml:space="preserve">    </w:t>
      </w:r>
      <w:r>
        <w:rPr>
          <w:rFonts w:hint="eastAsia" w:eastAsia="仿宋_GB2312"/>
          <w:b/>
          <w:bCs/>
          <w:sz w:val="32"/>
          <w:szCs w:val="32"/>
          <w:u w:val="single"/>
        </w:rPr>
        <w:t xml:space="preserve"> </w:t>
      </w:r>
    </w:p>
    <w:p>
      <w:pPr>
        <w:snapToGrid w:val="0"/>
        <w:ind w:firstLine="643" w:firstLineChars="200"/>
        <w:rPr>
          <w:rFonts w:hint="default" w:eastAsia="仿宋_GB2312"/>
          <w:b/>
          <w:bCs/>
          <w:sz w:val="32"/>
          <w:szCs w:val="32"/>
          <w:u w:val="single"/>
          <w:lang w:eastAsia="zh-Hans"/>
        </w:rPr>
      </w:pPr>
      <w:r>
        <w:rPr>
          <w:rFonts w:hint="eastAsia" w:eastAsia="仿宋_GB2312"/>
          <w:b/>
          <w:bCs/>
          <w:sz w:val="32"/>
          <w:szCs w:val="32"/>
          <w:u w:val="none"/>
        </w:rPr>
        <w:t xml:space="preserve">  </w:t>
      </w:r>
      <w:r>
        <w:rPr>
          <w:rFonts w:hint="default" w:eastAsia="仿宋_GB2312"/>
          <w:b/>
          <w:bCs/>
          <w:sz w:val="32"/>
          <w:szCs w:val="32"/>
          <w:u w:val="none"/>
        </w:rPr>
        <w:t xml:space="preserve">      </w:t>
      </w:r>
      <w:r>
        <w:rPr>
          <w:rFonts w:hint="default" w:eastAsia="仿宋_GB2312"/>
          <w:b/>
          <w:bCs/>
          <w:sz w:val="32"/>
          <w:szCs w:val="32"/>
          <w:u w:val="single"/>
        </w:rPr>
        <w:t xml:space="preserve">       </w:t>
      </w:r>
      <w:r>
        <w:rPr>
          <w:rFonts w:hint="eastAsia" w:eastAsia="仿宋_GB2312"/>
          <w:b/>
          <w:bCs/>
          <w:sz w:val="32"/>
          <w:szCs w:val="32"/>
          <w:u w:val="single"/>
          <w:lang w:val="en-US" w:eastAsia="zh-Hans"/>
        </w:rPr>
        <w:t>中国人民大学法学院</w:t>
      </w:r>
      <w:r>
        <w:rPr>
          <w:rFonts w:hint="default" w:eastAsia="仿宋_GB2312"/>
          <w:b/>
          <w:bCs/>
          <w:sz w:val="32"/>
          <w:szCs w:val="32"/>
          <w:u w:val="single"/>
          <w:lang w:eastAsia="zh-Hans"/>
        </w:rPr>
        <w:t xml:space="preserve">            </w:t>
      </w: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ind w:firstLine="3360" w:firstLineChars="1050"/>
        <w:rPr>
          <w:rFonts w:ascii="宋体" w:hAnsi="Arial Narrow"/>
          <w:sz w:val="32"/>
          <w:szCs w:val="32"/>
        </w:rPr>
      </w:pPr>
      <w:r>
        <w:rPr>
          <w:rFonts w:hint="eastAsia" w:ascii="宋体" w:hAnsi="Arial Narrow"/>
          <w:sz w:val="32"/>
          <w:szCs w:val="32"/>
        </w:rPr>
        <w:t>中国法学会</w:t>
      </w:r>
    </w:p>
    <w:p>
      <w:pPr>
        <w:snapToGrid w:val="0"/>
        <w:jc w:val="center"/>
        <w:rPr>
          <w:rFonts w:eastAsia="仿宋_GB2312"/>
          <w:b/>
          <w:bCs/>
          <w:szCs w:val="21"/>
          <w:u w:val="single"/>
        </w:rPr>
      </w:pPr>
      <w:r>
        <w:rPr>
          <w:rFonts w:hint="eastAsia" w:ascii="宋体" w:hAnsi="Arial Narrow"/>
          <w:sz w:val="32"/>
          <w:szCs w:val="32"/>
        </w:rPr>
        <w:t>202</w:t>
      </w:r>
      <w:r>
        <w:rPr>
          <w:rFonts w:ascii="宋体" w:hAnsi="Arial Narrow"/>
          <w:sz w:val="32"/>
          <w:szCs w:val="32"/>
          <w:lang w:val="en"/>
        </w:rPr>
        <w:t>2</w:t>
      </w:r>
      <w:r>
        <w:rPr>
          <w:rFonts w:hint="eastAsia" w:ascii="宋体" w:hAnsi="Arial Narrow"/>
          <w:sz w:val="32"/>
          <w:szCs w:val="32"/>
        </w:rPr>
        <w:t>年</w:t>
      </w:r>
      <w:r>
        <w:rPr>
          <w:rFonts w:ascii="宋体" w:hAnsi="Arial Narrow"/>
          <w:sz w:val="32"/>
          <w:szCs w:val="32"/>
          <w:lang w:val="en"/>
        </w:rPr>
        <w:t>12</w:t>
      </w:r>
      <w:r>
        <w:rPr>
          <w:rFonts w:hint="eastAsia" w:ascii="宋体" w:hAnsi="Arial Narrow"/>
          <w:sz w:val="32"/>
          <w:szCs w:val="32"/>
        </w:rPr>
        <w:t>月印制</w:t>
      </w:r>
    </w:p>
    <w:p>
      <w:pPr>
        <w:snapToGrid w:val="0"/>
        <w:rPr>
          <w:rFonts w:eastAsia="仿宋_GB2312"/>
          <w:szCs w:val="21"/>
        </w:rPr>
      </w:pPr>
    </w:p>
    <w:p>
      <w:pPr>
        <w:spacing w:line="440" w:lineRule="exact"/>
        <w:jc w:val="center"/>
        <w:rPr>
          <w:rFonts w:ascii="Arial Narrow" w:hAnsi="Arial Narrow"/>
          <w:b/>
          <w:sz w:val="30"/>
        </w:rPr>
      </w:pPr>
    </w:p>
    <w:p>
      <w:pPr>
        <w:spacing w:line="440" w:lineRule="exact"/>
        <w:jc w:val="center"/>
        <w:rPr>
          <w:rFonts w:ascii="仿宋" w:hAnsi="仿宋" w:eastAsia="仿宋"/>
          <w:b/>
          <w:sz w:val="32"/>
          <w:szCs w:val="32"/>
        </w:rPr>
      </w:pPr>
      <w:r>
        <w:rPr>
          <w:rFonts w:hint="eastAsia" w:ascii="仿宋" w:hAnsi="仿宋" w:eastAsia="仿宋"/>
          <w:b/>
          <w:sz w:val="32"/>
          <w:szCs w:val="32"/>
        </w:rPr>
        <w:t>填</w:t>
      </w:r>
      <w:r>
        <w:rPr>
          <w:rFonts w:ascii="仿宋" w:hAnsi="仿宋" w:eastAsia="仿宋"/>
          <w:b/>
          <w:sz w:val="32"/>
          <w:szCs w:val="32"/>
        </w:rPr>
        <w:t xml:space="preserve">  </w:t>
      </w:r>
      <w:r>
        <w:rPr>
          <w:rFonts w:hint="eastAsia" w:ascii="仿宋" w:hAnsi="仿宋" w:eastAsia="仿宋"/>
          <w:b/>
          <w:sz w:val="32"/>
          <w:szCs w:val="32"/>
        </w:rPr>
        <w:t>表</w:t>
      </w:r>
      <w:r>
        <w:rPr>
          <w:rFonts w:ascii="仿宋" w:hAnsi="仿宋" w:eastAsia="仿宋"/>
          <w:b/>
          <w:sz w:val="32"/>
          <w:szCs w:val="32"/>
        </w:rPr>
        <w:t xml:space="preserve">  </w:t>
      </w:r>
      <w:r>
        <w:rPr>
          <w:rFonts w:hint="eastAsia" w:ascii="仿宋" w:hAnsi="仿宋" w:eastAsia="仿宋"/>
          <w:b/>
          <w:sz w:val="32"/>
          <w:szCs w:val="32"/>
        </w:rPr>
        <w:t>说</w:t>
      </w:r>
      <w:r>
        <w:rPr>
          <w:rFonts w:ascii="仿宋" w:hAnsi="仿宋" w:eastAsia="仿宋"/>
          <w:b/>
          <w:sz w:val="32"/>
          <w:szCs w:val="32"/>
        </w:rPr>
        <w:t xml:space="preserve">  </w:t>
      </w:r>
      <w:r>
        <w:rPr>
          <w:rFonts w:hint="eastAsia" w:ascii="仿宋" w:hAnsi="仿宋" w:eastAsia="仿宋"/>
          <w:b/>
          <w:sz w:val="32"/>
          <w:szCs w:val="32"/>
        </w:rPr>
        <w:t>明</w:t>
      </w:r>
    </w:p>
    <w:p>
      <w:pPr>
        <w:spacing w:line="480" w:lineRule="exact"/>
        <w:ind w:firstLine="560" w:firstLineChars="200"/>
        <w:rPr>
          <w:rFonts w:ascii="仿宋" w:hAnsi="仿宋" w:eastAsia="仿宋"/>
          <w:sz w:val="28"/>
          <w:szCs w:val="28"/>
        </w:rPr>
      </w:pPr>
    </w:p>
    <w:p>
      <w:pPr>
        <w:numPr>
          <w:ilvl w:val="0"/>
          <w:numId w:val="1"/>
        </w:numPr>
        <w:spacing w:line="560" w:lineRule="exact"/>
        <w:ind w:firstLine="560" w:firstLineChars="200"/>
        <w:rPr>
          <w:rFonts w:ascii="仿宋" w:hAnsi="仿宋" w:eastAsia="仿宋"/>
          <w:sz w:val="28"/>
          <w:szCs w:val="28"/>
        </w:rPr>
      </w:pPr>
      <w:r>
        <w:rPr>
          <w:rFonts w:hint="eastAsia" w:ascii="仿宋" w:hAnsi="仿宋" w:eastAsia="仿宋"/>
          <w:sz w:val="28"/>
          <w:szCs w:val="28"/>
        </w:rPr>
        <w:t>表一为推荐单位填写或指导推荐候选人填写，表二为推荐候选人工作单位上级党委（党组）填写并盖章，表三为推荐候选人工作单位上级纪检监察部门填写并盖章，表四为推荐单位填写并盖章。</w:t>
      </w:r>
    </w:p>
    <w:p>
      <w:pPr>
        <w:spacing w:line="560" w:lineRule="exact"/>
        <w:rPr>
          <w:rFonts w:ascii="仿宋" w:hAnsi="仿宋" w:eastAsia="仿宋"/>
          <w:sz w:val="28"/>
          <w:szCs w:val="28"/>
        </w:rPr>
      </w:pPr>
      <w:r>
        <w:rPr>
          <w:rFonts w:hint="eastAsia" w:ascii="仿宋" w:hAnsi="仿宋" w:eastAsia="仿宋"/>
          <w:sz w:val="28"/>
          <w:szCs w:val="28"/>
        </w:rPr>
        <w:t xml:space="preserve">    例如，推荐候选人为某大学法学院教授的，表二应由该大学党委填写并盖章，表三应由该大学纪委填写并盖章，表四应由该大学法学院填写并盖章。</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二、推荐单位需填写推荐评选委员会投票情况、推荐意见（每人500字以内）。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三、请用计算机填写，可根据实际需要分栏，但勿随意变动格式及字体字号。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四、请各推荐单位于2023年3月20日之前，将</w:t>
      </w:r>
      <w:r>
        <w:fldChar w:fldCharType="begin"/>
      </w:r>
      <w:r>
        <w:instrText xml:space="preserve"> HYPERLINK "mailto:本表电子版发至邮箱qnfxj2016@126.com" </w:instrText>
      </w:r>
      <w:r>
        <w:fldChar w:fldCharType="separate"/>
      </w:r>
      <w:r>
        <w:rPr>
          <w:rFonts w:hint="eastAsia" w:ascii="仿宋" w:hAnsi="仿宋" w:eastAsia="仿宋"/>
          <w:sz w:val="28"/>
          <w:szCs w:val="28"/>
        </w:rPr>
        <w:t>本表电子版发至指定邮箱</w:t>
      </w:r>
      <w:r>
        <w:rPr>
          <w:rFonts w:hint="eastAsia" w:ascii="仿宋" w:hAnsi="仿宋" w:eastAsia="仿宋"/>
          <w:sz w:val="28"/>
          <w:szCs w:val="28"/>
        </w:rPr>
        <w:fldChar w:fldCharType="end"/>
      </w:r>
      <w:r>
        <w:rPr>
          <w:rFonts w:hint="eastAsia" w:ascii="仿宋" w:hAnsi="仿宋" w:eastAsia="仿宋"/>
          <w:sz w:val="28"/>
          <w:szCs w:val="28"/>
        </w:rPr>
        <w:t>。纸质版以A4纸打印一式四份，连同推荐评选情况报告、推荐候选人身份证复印件、推荐候选人代表性学术专著1-2部（独著）、学术论文3-5篇（独著或第一作者）、重要荣誉证书或证明复印件各一式一份，寄至指定地址。</w:t>
      </w:r>
    </w:p>
    <w:p>
      <w:pPr>
        <w:spacing w:line="560" w:lineRule="exact"/>
        <w:ind w:firstLine="560" w:firstLineChars="200"/>
        <w:rPr>
          <w:rFonts w:ascii="仿宋" w:hAnsi="仿宋" w:eastAsia="仿宋"/>
          <w:sz w:val="28"/>
          <w:szCs w:val="28"/>
        </w:rPr>
      </w:pP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联 系 人：魏丽莎 于晓航  010-66</w:t>
      </w:r>
      <w:r>
        <w:rPr>
          <w:rFonts w:ascii="仿宋" w:hAnsi="仿宋" w:eastAsia="仿宋"/>
          <w:color w:val="000000"/>
          <w:sz w:val="28"/>
          <w:szCs w:val="28"/>
          <w:lang w:val="en"/>
        </w:rPr>
        <w:t>1</w:t>
      </w:r>
      <w:r>
        <w:rPr>
          <w:rFonts w:hint="eastAsia" w:ascii="仿宋" w:hAnsi="仿宋" w:eastAsia="仿宋"/>
          <w:color w:val="000000"/>
          <w:sz w:val="28"/>
          <w:szCs w:val="28"/>
        </w:rPr>
        <w:t>23109</w:t>
      </w:r>
    </w:p>
    <w:p>
      <w:pPr>
        <w:snapToGrid w:val="0"/>
        <w:spacing w:line="560" w:lineRule="exact"/>
        <w:ind w:firstLine="560" w:firstLineChars="200"/>
        <w:rPr>
          <w:rFonts w:ascii="仿宋" w:hAnsi="仿宋" w:eastAsia="仿宋"/>
          <w:color w:val="000000"/>
          <w:spacing w:val="-6"/>
          <w:sz w:val="28"/>
          <w:szCs w:val="28"/>
        </w:rPr>
      </w:pPr>
      <w:r>
        <w:rPr>
          <w:rFonts w:hint="eastAsia" w:ascii="仿宋" w:hAnsi="仿宋" w:eastAsia="仿宋"/>
          <w:color w:val="000000"/>
          <w:sz w:val="28"/>
          <w:szCs w:val="28"/>
        </w:rPr>
        <w:t>邮寄地址：</w:t>
      </w:r>
      <w:r>
        <w:rPr>
          <w:rFonts w:hint="eastAsia" w:ascii="仿宋" w:hAnsi="仿宋" w:eastAsia="仿宋"/>
          <w:color w:val="000000"/>
          <w:spacing w:val="-6"/>
          <w:sz w:val="28"/>
          <w:szCs w:val="28"/>
        </w:rPr>
        <w:t>北京市海淀区皂君庙4号中国法学会研究部1334室</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邮    编：100081</w:t>
      </w:r>
    </w:p>
    <w:p>
      <w:pPr>
        <w:snapToGrid w:val="0"/>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电子邮箱：</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"mailto:qnfxj2022@163.com" </w:instrText>
      </w:r>
      <w:r>
        <w:rPr>
          <w:rFonts w:hint="eastAsia" w:ascii="仿宋" w:hAnsi="仿宋" w:eastAsia="仿宋"/>
          <w:color w:val="000000"/>
          <w:sz w:val="28"/>
          <w:szCs w:val="28"/>
        </w:rPr>
        <w:fldChar w:fldCharType="separate"/>
      </w:r>
      <w:r>
        <w:rPr>
          <w:rStyle w:val="7"/>
          <w:rFonts w:hint="eastAsia" w:ascii="仿宋" w:hAnsi="仿宋" w:eastAsia="仿宋"/>
          <w:color w:val="000000"/>
          <w:sz w:val="28"/>
          <w:szCs w:val="28"/>
        </w:rPr>
        <w:t>qnfxj2022@163.com</w:t>
      </w:r>
      <w:r>
        <w:rPr>
          <w:rFonts w:hint="eastAsia" w:ascii="仿宋" w:hAnsi="仿宋" w:eastAsia="仿宋"/>
          <w:color w:val="000000"/>
          <w:sz w:val="28"/>
          <w:szCs w:val="28"/>
        </w:rPr>
        <w:fldChar w:fldCharType="end"/>
      </w:r>
    </w:p>
    <w:p>
      <w:pPr>
        <w:snapToGrid w:val="0"/>
        <w:spacing w:line="560" w:lineRule="exact"/>
        <w:ind w:firstLine="560" w:firstLineChars="200"/>
        <w:rPr>
          <w:rFonts w:hint="eastAsia" w:ascii="仿宋" w:hAnsi="仿宋" w:eastAsia="仿宋"/>
          <w:color w:val="000000"/>
          <w:sz w:val="28"/>
          <w:szCs w:val="28"/>
        </w:rPr>
      </w:pPr>
    </w:p>
    <w:p>
      <w:pPr>
        <w:rPr>
          <w:rFonts w:ascii="宋体" w:hAnsi="宋体"/>
          <w:b/>
          <w:bCs/>
          <w:color w:val="000000"/>
          <w:sz w:val="24"/>
        </w:rPr>
      </w:pPr>
    </w:p>
    <w:tbl>
      <w:tblPr>
        <w:tblStyle w:val="5"/>
        <w:tblpPr w:leftFromText="180" w:rightFromText="180" w:vertAnchor="text" w:horzAnchor="page" w:tblpX="1732" w:tblpY="-22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04"/>
        <w:gridCol w:w="1276"/>
        <w:gridCol w:w="201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9000" w:type="dxa"/>
            <w:gridSpan w:val="5"/>
            <w:tcBorders>
              <w:bottom w:val="single" w:color="000000" w:sz="4" w:space="0"/>
            </w:tcBorders>
            <w:vAlign w:val="center"/>
          </w:tcPr>
          <w:p>
            <w:pPr>
              <w:snapToGrid w:val="0"/>
              <w:rPr>
                <w:rFonts w:ascii="华文中宋" w:hAnsi="华文中宋" w:eastAsia="华文中宋"/>
                <w:b/>
                <w:color w:val="000000"/>
                <w:sz w:val="30"/>
                <w:szCs w:val="30"/>
              </w:rPr>
            </w:pPr>
            <w:r>
              <w:rPr>
                <w:rFonts w:hint="eastAsia" w:ascii="华文中宋" w:hAnsi="华文中宋" w:eastAsia="华文中宋"/>
                <w:b/>
                <w:color w:val="000000"/>
                <w:sz w:val="30"/>
                <w:szCs w:val="30"/>
              </w:rPr>
              <w:t>表一：推荐候选人情况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620" w:type="dxa"/>
            <w:tcBorders>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姓    名</w:t>
            </w:r>
          </w:p>
        </w:tc>
        <w:tc>
          <w:tcPr>
            <w:tcW w:w="2104" w:type="dxa"/>
            <w:tcBorders>
              <w:left w:val="single" w:color="000000" w:sz="4" w:space="0"/>
              <w:bottom w:val="single" w:color="000000" w:sz="4" w:space="0"/>
            </w:tcBorders>
            <w:vAlign w:val="center"/>
          </w:tcPr>
          <w:p>
            <w:pPr>
              <w:snapToGrid w:val="0"/>
              <w:ind w:firstLine="480" w:firstLineChars="200"/>
              <w:jc w:val="left"/>
              <w:rPr>
                <w:rFonts w:ascii="宋体" w:hAnsi="宋体"/>
                <w:color w:val="000000"/>
                <w:sz w:val="24"/>
              </w:rPr>
            </w:pPr>
            <w:r>
              <w:rPr>
                <w:rFonts w:hint="eastAsia" w:ascii="宋体" w:hAnsi="宋体"/>
                <w:color w:val="000000"/>
                <w:sz w:val="24"/>
              </w:rPr>
              <w:t>陈 璇</w:t>
            </w:r>
          </w:p>
        </w:tc>
        <w:tc>
          <w:tcPr>
            <w:tcW w:w="1276"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性    别</w:t>
            </w:r>
          </w:p>
        </w:tc>
        <w:tc>
          <w:tcPr>
            <w:tcW w:w="2016" w:type="dxa"/>
            <w:tcBorders>
              <w:left w:val="single" w:color="000000" w:sz="4" w:space="0"/>
              <w:bottom w:val="single" w:color="000000" w:sz="4" w:space="0"/>
            </w:tcBorders>
            <w:vAlign w:val="center"/>
          </w:tcPr>
          <w:p>
            <w:pPr>
              <w:snapToGrid w:val="0"/>
              <w:jc w:val="center"/>
              <w:rPr>
                <w:rFonts w:ascii="宋体" w:hAnsi="宋体"/>
                <w:color w:val="000000"/>
                <w:sz w:val="24"/>
              </w:rPr>
            </w:pPr>
            <w:r>
              <w:rPr>
                <w:rFonts w:hint="eastAsia" w:ascii="宋体" w:hAnsi="宋体"/>
                <w:color w:val="000000"/>
                <w:sz w:val="24"/>
              </w:rPr>
              <w:t>男</w:t>
            </w:r>
          </w:p>
        </w:tc>
        <w:tc>
          <w:tcPr>
            <w:tcW w:w="1984" w:type="dxa"/>
            <w:vMerge w:val="restart"/>
            <w:tcBorders>
              <w:left w:val="single" w:color="000000" w:sz="4" w:space="0"/>
            </w:tcBorders>
            <w:vAlign w:val="center"/>
          </w:tcPr>
          <w:p>
            <w:pPr>
              <w:snapToGrid w:val="0"/>
              <w:jc w:val="center"/>
              <w:rPr>
                <w:rFonts w:ascii="宋体" w:hAnsi="宋体"/>
                <w:b/>
                <w:color w:val="000000"/>
                <w:sz w:val="24"/>
              </w:rPr>
            </w:pPr>
            <w:r>
              <w:rPr>
                <w:kern w:val="0"/>
                <w:sz w:val="24"/>
              </w:rPr>
              <w:drawing>
                <wp:inline distT="0" distB="0" distL="0" distR="0">
                  <wp:extent cx="1155065" cy="1575435"/>
                  <wp:effectExtent l="0" t="0" r="6985" b="5715"/>
                  <wp:docPr id="1" name="图片 1" descr="24177297903297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17729790329714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97036" cy="1632365"/>
                          </a:xfrm>
                          <a:prstGeom prst="rect">
                            <a:avLst/>
                          </a:prstGeom>
                          <a:noFill/>
                          <a:ln>
                            <a:noFill/>
                          </a:ln>
                        </pic:spPr>
                      </pic:pic>
                    </a:graphicData>
                  </a:graphic>
                </wp:inline>
              </w:drawing>
            </w:r>
            <w:r>
              <w:rPr>
                <w:rFonts w:ascii="宋体" w:hAnsi="宋体"/>
                <w:b/>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620" w:type="dxa"/>
            <w:tcBorders>
              <w:top w:val="single" w:color="000000"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出生日期</w:t>
            </w:r>
          </w:p>
        </w:tc>
        <w:tc>
          <w:tcPr>
            <w:tcW w:w="2104" w:type="dxa"/>
            <w:tcBorders>
              <w:top w:val="single" w:color="000000" w:sz="4" w:space="0"/>
              <w:left w:val="single" w:color="000000" w:sz="4" w:space="0"/>
              <w:bottom w:val="single" w:color="000000" w:sz="4" w:space="0"/>
            </w:tcBorders>
            <w:vAlign w:val="center"/>
          </w:tcPr>
          <w:p>
            <w:pPr>
              <w:snapToGrid w:val="0"/>
              <w:jc w:val="left"/>
              <w:rPr>
                <w:rFonts w:ascii="宋体" w:hAnsi="宋体"/>
                <w:color w:val="000000"/>
                <w:sz w:val="24"/>
              </w:rPr>
            </w:pPr>
            <w:r>
              <w:rPr>
                <w:rFonts w:hint="eastAsia" w:ascii="宋体" w:hAnsi="宋体"/>
                <w:color w:val="000000"/>
                <w:sz w:val="24"/>
              </w:rPr>
              <w:t>1</w:t>
            </w:r>
            <w:r>
              <w:rPr>
                <w:rFonts w:ascii="宋体" w:hAnsi="宋体"/>
                <w:color w:val="000000"/>
                <w:sz w:val="24"/>
              </w:rPr>
              <w:t>982</w:t>
            </w:r>
            <w:r>
              <w:rPr>
                <w:rFonts w:hint="eastAsia" w:ascii="宋体" w:hAnsi="宋体"/>
                <w:color w:val="000000"/>
                <w:sz w:val="24"/>
              </w:rPr>
              <w:t>年5月2</w:t>
            </w:r>
            <w:r>
              <w:rPr>
                <w:rFonts w:ascii="宋体" w:hAnsi="宋体"/>
                <w:color w:val="000000"/>
                <w:sz w:val="24"/>
              </w:rPr>
              <w:t>0</w:t>
            </w:r>
            <w:r>
              <w:rPr>
                <w:rFonts w:hint="eastAsia" w:ascii="宋体" w:hAnsi="宋体"/>
                <w:color w:val="000000"/>
                <w:sz w:val="24"/>
              </w:rPr>
              <w:t>日</w:t>
            </w:r>
          </w:p>
        </w:tc>
        <w:tc>
          <w:tcPr>
            <w:tcW w:w="1276"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民    族</w:t>
            </w:r>
          </w:p>
        </w:tc>
        <w:tc>
          <w:tcPr>
            <w:tcW w:w="2016" w:type="dxa"/>
            <w:tcBorders>
              <w:top w:val="single" w:color="000000" w:sz="4" w:space="0"/>
              <w:left w:val="single" w:color="000000" w:sz="4" w:space="0"/>
              <w:bottom w:val="single" w:color="000000" w:sz="4" w:space="0"/>
            </w:tcBorders>
            <w:vAlign w:val="center"/>
          </w:tcPr>
          <w:p>
            <w:pPr>
              <w:snapToGrid w:val="0"/>
              <w:jc w:val="center"/>
              <w:rPr>
                <w:rFonts w:ascii="宋体" w:hAnsi="宋体"/>
                <w:color w:val="000000"/>
                <w:sz w:val="24"/>
              </w:rPr>
            </w:pPr>
            <w:r>
              <w:rPr>
                <w:rFonts w:hint="eastAsia" w:ascii="宋体" w:hAnsi="宋体"/>
                <w:color w:val="000000"/>
                <w:sz w:val="24"/>
              </w:rPr>
              <w:t>汉</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20" w:type="dxa"/>
            <w:tcBorders>
              <w:top w:val="single" w:color="000000" w:sz="4" w:space="0"/>
              <w:bottom w:val="single" w:color="auto"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政治面貌</w:t>
            </w:r>
          </w:p>
        </w:tc>
        <w:tc>
          <w:tcPr>
            <w:tcW w:w="2104" w:type="dxa"/>
            <w:tcBorders>
              <w:top w:val="single" w:color="000000" w:sz="4" w:space="0"/>
              <w:left w:val="single" w:color="000000" w:sz="4" w:space="0"/>
              <w:bottom w:val="single" w:color="auto" w:sz="4" w:space="0"/>
            </w:tcBorders>
            <w:vAlign w:val="center"/>
          </w:tcPr>
          <w:p>
            <w:pPr>
              <w:snapToGrid w:val="0"/>
              <w:ind w:firstLine="480" w:firstLineChars="200"/>
              <w:jc w:val="left"/>
              <w:rPr>
                <w:rFonts w:ascii="宋体" w:hAnsi="宋体"/>
                <w:color w:val="000000"/>
                <w:sz w:val="24"/>
              </w:rPr>
            </w:pPr>
            <w:r>
              <w:rPr>
                <w:rFonts w:hint="eastAsia" w:ascii="宋体" w:hAnsi="宋体"/>
                <w:color w:val="000000"/>
                <w:sz w:val="24"/>
              </w:rPr>
              <w:t>中共党员</w:t>
            </w:r>
          </w:p>
        </w:tc>
        <w:tc>
          <w:tcPr>
            <w:tcW w:w="1276"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学    历</w:t>
            </w:r>
          </w:p>
        </w:tc>
        <w:tc>
          <w:tcPr>
            <w:tcW w:w="2016" w:type="dxa"/>
            <w:tcBorders>
              <w:top w:val="single" w:color="000000" w:sz="4" w:space="0"/>
              <w:left w:val="single" w:color="000000" w:sz="4" w:space="0"/>
              <w:bottom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研究生</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20" w:type="dxa"/>
            <w:tcBorders>
              <w:top w:val="single" w:color="auto"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技术职称</w:t>
            </w:r>
          </w:p>
        </w:tc>
        <w:tc>
          <w:tcPr>
            <w:tcW w:w="2104" w:type="dxa"/>
            <w:tcBorders>
              <w:top w:val="single" w:color="auto" w:sz="4" w:space="0"/>
              <w:left w:val="single" w:color="000000" w:sz="4" w:space="0"/>
              <w:bottom w:val="single" w:color="000000" w:sz="4" w:space="0"/>
            </w:tcBorders>
            <w:vAlign w:val="center"/>
          </w:tcPr>
          <w:p>
            <w:pPr>
              <w:snapToGrid w:val="0"/>
              <w:ind w:firstLine="480" w:firstLineChars="200"/>
              <w:jc w:val="left"/>
              <w:rPr>
                <w:rFonts w:ascii="宋体" w:hAnsi="宋体"/>
                <w:color w:val="000000"/>
                <w:sz w:val="24"/>
              </w:rPr>
            </w:pPr>
            <w:r>
              <w:rPr>
                <w:rFonts w:hint="eastAsia" w:ascii="宋体" w:hAnsi="宋体"/>
                <w:color w:val="000000"/>
                <w:sz w:val="24"/>
              </w:rPr>
              <w:t>教 授</w:t>
            </w:r>
          </w:p>
        </w:tc>
        <w:tc>
          <w:tcPr>
            <w:tcW w:w="1276" w:type="dxa"/>
            <w:tcBorders>
              <w:top w:val="single" w:color="auto"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行政职务</w:t>
            </w:r>
          </w:p>
        </w:tc>
        <w:tc>
          <w:tcPr>
            <w:tcW w:w="2016" w:type="dxa"/>
            <w:tcBorders>
              <w:top w:val="single" w:color="auto" w:sz="4" w:space="0"/>
              <w:left w:val="single" w:color="000000" w:sz="4" w:space="0"/>
              <w:bottom w:val="single" w:color="000000" w:sz="4" w:space="0"/>
            </w:tcBorders>
            <w:vAlign w:val="center"/>
          </w:tcPr>
          <w:p>
            <w:pPr>
              <w:snapToGrid w:val="0"/>
              <w:jc w:val="left"/>
              <w:rPr>
                <w:rFonts w:ascii="宋体" w:hAnsi="宋体"/>
                <w:color w:val="000000"/>
                <w:sz w:val="24"/>
              </w:rPr>
            </w:pPr>
            <w:r>
              <w:rPr>
                <w:rFonts w:hint="eastAsia" w:ascii="宋体" w:hAnsi="宋体"/>
                <w:color w:val="000000"/>
                <w:sz w:val="24"/>
              </w:rPr>
              <w:t>刑法教研室主任</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工作单位</w:t>
            </w:r>
          </w:p>
        </w:tc>
        <w:tc>
          <w:tcPr>
            <w:tcW w:w="5396" w:type="dxa"/>
            <w:gridSpan w:val="3"/>
            <w:tcBorders>
              <w:top w:val="single" w:color="000000" w:sz="4" w:space="0"/>
              <w:bottom w:val="single" w:color="000000" w:sz="4" w:space="0"/>
            </w:tcBorders>
            <w:vAlign w:val="center"/>
          </w:tcPr>
          <w:p>
            <w:pPr>
              <w:snapToGrid w:val="0"/>
              <w:jc w:val="left"/>
              <w:rPr>
                <w:rFonts w:ascii="宋体" w:hAnsi="宋体"/>
                <w:color w:val="000000"/>
                <w:sz w:val="24"/>
              </w:rPr>
            </w:pPr>
            <w:r>
              <w:rPr>
                <w:rFonts w:hint="eastAsia" w:ascii="宋体" w:hAnsi="宋体"/>
                <w:color w:val="000000"/>
                <w:sz w:val="24"/>
              </w:rPr>
              <w:t>中国人民大学法学院</w:t>
            </w:r>
          </w:p>
        </w:tc>
        <w:tc>
          <w:tcPr>
            <w:tcW w:w="1984" w:type="dxa"/>
            <w:vMerge w:val="continue"/>
            <w:tcBorders>
              <w:left w:val="single" w:color="000000" w:sz="4" w:space="0"/>
            </w:tcBorders>
            <w:vAlign w:val="center"/>
          </w:tcPr>
          <w:p>
            <w:pPr>
              <w:snapToGrid w:val="0"/>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通讯地址</w:t>
            </w:r>
          </w:p>
        </w:tc>
        <w:tc>
          <w:tcPr>
            <w:tcW w:w="7380" w:type="dxa"/>
            <w:gridSpan w:val="4"/>
            <w:tcBorders>
              <w:top w:val="single" w:color="000000" w:sz="4" w:space="0"/>
              <w:bottom w:val="single" w:color="000000" w:sz="4" w:space="0"/>
            </w:tcBorders>
            <w:vAlign w:val="center"/>
          </w:tcPr>
          <w:p>
            <w:pPr>
              <w:snapToGrid w:val="0"/>
              <w:jc w:val="left"/>
              <w:rPr>
                <w:rFonts w:ascii="宋体" w:hAnsi="宋体"/>
                <w:color w:val="000000"/>
                <w:sz w:val="24"/>
              </w:rPr>
            </w:pPr>
            <w:r>
              <w:rPr>
                <w:rFonts w:hint="eastAsia" w:ascii="宋体" w:hAnsi="宋体"/>
                <w:color w:val="000000"/>
                <w:sz w:val="24"/>
              </w:rPr>
              <w:t>北京市海淀区中关村大街5</w:t>
            </w:r>
            <w:r>
              <w:rPr>
                <w:rFonts w:ascii="宋体" w:hAnsi="宋体"/>
                <w:color w:val="000000"/>
                <w:sz w:val="24"/>
              </w:rPr>
              <w:t>9</w:t>
            </w:r>
            <w:r>
              <w:rPr>
                <w:rFonts w:hint="eastAsia" w:ascii="宋体" w:hAnsi="宋体"/>
                <w:color w:val="000000"/>
                <w:sz w:val="24"/>
              </w:rPr>
              <w:t>号中国人民大学法学院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1" w:hRule="atLeast"/>
        </w:trPr>
        <w:tc>
          <w:tcPr>
            <w:tcW w:w="9000" w:type="dxa"/>
            <w:gridSpan w:val="5"/>
            <w:tcBorders>
              <w:top w:val="single" w:color="auto" w:sz="4" w:space="0"/>
              <w:bottom w:val="single" w:color="000000" w:sz="4" w:space="0"/>
            </w:tcBorders>
          </w:tcPr>
          <w:p>
            <w:pPr>
              <w:tabs>
                <w:tab w:val="left" w:pos="4185"/>
              </w:tabs>
              <w:snapToGrid w:val="0"/>
              <w:spacing w:before="156" w:beforeLines="50"/>
              <w:jc w:val="center"/>
              <w:rPr>
                <w:rFonts w:ascii="宋体" w:hAnsi="宋体"/>
                <w:b/>
                <w:color w:val="000000"/>
                <w:sz w:val="30"/>
                <w:szCs w:val="30"/>
              </w:rPr>
            </w:pPr>
            <w:r>
              <w:rPr>
                <w:rFonts w:hint="eastAsia" w:ascii="宋体" w:hAnsi="宋体"/>
                <w:b/>
                <w:color w:val="000000"/>
                <w:sz w:val="30"/>
                <w:szCs w:val="30"/>
              </w:rPr>
              <w:t>重要学术成果</w:t>
            </w:r>
          </w:p>
          <w:p>
            <w:pPr>
              <w:tabs>
                <w:tab w:val="left" w:pos="4185"/>
              </w:tabs>
              <w:snapToGrid w:val="0"/>
              <w:jc w:val="center"/>
              <w:rPr>
                <w:rFonts w:ascii="楷体_GB2312" w:hAnsi="楷体" w:eastAsia="楷体_GB2312"/>
                <w:b/>
                <w:color w:val="000000"/>
                <w:sz w:val="24"/>
              </w:rPr>
            </w:pPr>
            <w:r>
              <w:rPr>
                <w:rFonts w:hint="eastAsia" w:ascii="楷体_GB2312" w:hAnsi="楷体" w:eastAsia="楷体_GB2312"/>
                <w:b/>
                <w:color w:val="000000"/>
                <w:sz w:val="24"/>
              </w:rPr>
              <w:t>（包括专著和论文，只列书名和篇名即可。论文仅限于发表在核心期刊或全国性重要报纸上的。请注明署名方式、发表或出版时间、刊物或出版社、字数。代表性著作和论文请注明中国知网统计的被引用数。）</w:t>
            </w:r>
          </w:p>
          <w:p>
            <w:pPr>
              <w:spacing w:line="360" w:lineRule="auto"/>
              <w:ind w:firstLine="480" w:firstLineChars="200"/>
              <w:rPr>
                <w:rFonts w:eastAsia="新宋体"/>
                <w:sz w:val="24"/>
              </w:rPr>
            </w:pPr>
          </w:p>
          <w:p>
            <w:pPr>
              <w:spacing w:line="360" w:lineRule="auto"/>
              <w:ind w:firstLine="480" w:firstLineChars="200"/>
              <w:rPr>
                <w:rFonts w:eastAsia="新宋体"/>
                <w:sz w:val="24"/>
              </w:rPr>
            </w:pPr>
            <w:r>
              <w:rPr>
                <w:rFonts w:eastAsia="新宋体"/>
                <w:sz w:val="24"/>
              </w:rPr>
              <w:t>近年来，本人的主要学术贡献和创新研究成果体现在以下</w:t>
            </w:r>
            <w:r>
              <w:rPr>
                <w:rFonts w:hint="eastAsia" w:eastAsia="新宋体"/>
                <w:sz w:val="24"/>
              </w:rPr>
              <w:t>三个</w:t>
            </w:r>
            <w:r>
              <w:rPr>
                <w:rFonts w:eastAsia="新宋体"/>
                <w:sz w:val="24"/>
              </w:rPr>
              <w:t>方面：</w:t>
            </w:r>
          </w:p>
          <w:p>
            <w:pPr>
              <w:spacing w:line="360" w:lineRule="auto"/>
              <w:ind w:firstLine="480" w:firstLineChars="200"/>
              <w:rPr>
                <w:rFonts w:eastAsia="新宋体"/>
                <w:bCs/>
                <w:sz w:val="24"/>
              </w:rPr>
            </w:pPr>
            <w:r>
              <w:rPr>
                <w:rFonts w:hint="eastAsia" w:eastAsia="新宋体"/>
                <w:sz w:val="24"/>
              </w:rPr>
              <w:t>1</w:t>
            </w:r>
            <w:r>
              <w:rPr>
                <w:rFonts w:eastAsia="新宋体"/>
                <w:sz w:val="24"/>
              </w:rPr>
              <w:t xml:space="preserve">. </w:t>
            </w:r>
            <w:r>
              <w:rPr>
                <w:rFonts w:eastAsia="新宋体"/>
                <w:b/>
                <w:sz w:val="24"/>
                <w:u w:val="single"/>
              </w:rPr>
              <w:t>紧急权的理论体系与司法适用</w:t>
            </w:r>
            <w:r>
              <w:rPr>
                <w:rFonts w:eastAsia="新宋体"/>
                <w:sz w:val="24"/>
              </w:rPr>
              <w:t>。本人主持了</w:t>
            </w:r>
            <w:r>
              <w:rPr>
                <w:rFonts w:eastAsia="新宋体"/>
                <w:b/>
                <w:bCs/>
                <w:sz w:val="24"/>
              </w:rPr>
              <w:t>2015年度国家社科基金项目</w:t>
            </w:r>
            <w:r>
              <w:rPr>
                <w:rFonts w:hint="eastAsia" w:eastAsia="新宋体"/>
                <w:b/>
                <w:bCs/>
                <w:sz w:val="24"/>
              </w:rPr>
              <w:t>“</w:t>
            </w:r>
            <w:r>
              <w:rPr>
                <w:rFonts w:eastAsia="新宋体"/>
                <w:b/>
                <w:bCs/>
                <w:sz w:val="24"/>
              </w:rPr>
              <w:t>刑法中紧急权的体系和解释研究</w:t>
            </w:r>
            <w:r>
              <w:rPr>
                <w:rFonts w:hint="eastAsia" w:eastAsia="新宋体"/>
                <w:b/>
                <w:bCs/>
                <w:sz w:val="24"/>
              </w:rPr>
              <w:t>”</w:t>
            </w:r>
            <w:r>
              <w:rPr>
                <w:rFonts w:hint="eastAsia" w:eastAsia="新宋体"/>
                <w:bCs/>
                <w:sz w:val="24"/>
                <w:lang w:val="de-DE"/>
              </w:rPr>
              <w:t>（批准号：1</w:t>
            </w:r>
            <w:r>
              <w:rPr>
                <w:rFonts w:eastAsia="新宋体"/>
                <w:bCs/>
                <w:sz w:val="24"/>
                <w:lang w:val="de-DE"/>
              </w:rPr>
              <w:t>5</w:t>
            </w:r>
            <w:r>
              <w:rPr>
                <w:rFonts w:hint="eastAsia" w:eastAsia="新宋体"/>
                <w:bCs/>
                <w:sz w:val="24"/>
                <w:lang w:val="de-DE"/>
              </w:rPr>
              <w:t>CFX</w:t>
            </w:r>
            <w:r>
              <w:rPr>
                <w:rFonts w:eastAsia="新宋体"/>
                <w:bCs/>
                <w:sz w:val="24"/>
                <w:lang w:val="de-DE"/>
              </w:rPr>
              <w:t>036</w:t>
            </w:r>
            <w:r>
              <w:rPr>
                <w:rFonts w:hint="eastAsia" w:eastAsia="新宋体"/>
                <w:bCs/>
                <w:sz w:val="24"/>
                <w:lang w:val="de-DE"/>
              </w:rPr>
              <w:t>）</w:t>
            </w:r>
            <w:r>
              <w:rPr>
                <w:rFonts w:eastAsia="新宋体"/>
                <w:sz w:val="24"/>
              </w:rPr>
              <w:t>，</w:t>
            </w:r>
            <w:r>
              <w:rPr>
                <w:rFonts w:eastAsia="新宋体"/>
                <w:bCs/>
                <w:sz w:val="24"/>
              </w:rPr>
              <w:t>围绕该项目主题陆续在《法学研究》、《中国法学》等期刊发表了</w:t>
            </w:r>
            <w:r>
              <w:rPr>
                <w:rFonts w:hint="eastAsia" w:eastAsia="新宋体"/>
                <w:bCs/>
                <w:sz w:val="24"/>
              </w:rPr>
              <w:t>1</w:t>
            </w:r>
            <w:r>
              <w:rPr>
                <w:rFonts w:eastAsia="新宋体"/>
                <w:bCs/>
                <w:sz w:val="24"/>
              </w:rPr>
              <w:t>2篇论文</w:t>
            </w:r>
            <w:r>
              <w:rPr>
                <w:rFonts w:hint="eastAsia" w:eastAsia="新宋体"/>
                <w:bCs/>
                <w:sz w:val="24"/>
              </w:rPr>
              <w:t>，出版专著两部。2</w:t>
            </w:r>
            <w:r>
              <w:rPr>
                <w:rFonts w:eastAsia="新宋体"/>
                <w:bCs/>
                <w:sz w:val="24"/>
              </w:rPr>
              <w:t>021</w:t>
            </w:r>
            <w:r>
              <w:rPr>
                <w:rFonts w:hint="eastAsia" w:eastAsia="新宋体"/>
                <w:bCs/>
                <w:sz w:val="24"/>
              </w:rPr>
              <w:t>年3月，该项目获得</w:t>
            </w:r>
            <w:r>
              <w:rPr>
                <w:rFonts w:hint="eastAsia" w:eastAsia="新宋体"/>
                <w:b/>
                <w:bCs/>
                <w:sz w:val="24"/>
                <w:u w:val="single"/>
              </w:rPr>
              <w:t>“优秀”等级结项</w:t>
            </w:r>
            <w:r>
              <w:rPr>
                <w:rFonts w:hint="eastAsia" w:eastAsia="新宋体"/>
                <w:bCs/>
                <w:sz w:val="24"/>
              </w:rPr>
              <w:t>。</w:t>
            </w:r>
            <w:r>
              <w:rPr>
                <w:rFonts w:eastAsia="新宋体"/>
                <w:bCs/>
                <w:sz w:val="24"/>
              </w:rPr>
              <w:t>主要学术创新和贡献包括：</w:t>
            </w:r>
            <w:r>
              <w:rPr>
                <w:rFonts w:hint="eastAsia" w:eastAsia="新宋体"/>
                <w:bCs/>
                <w:sz w:val="24"/>
              </w:rPr>
              <w:t>（1）</w:t>
            </w:r>
            <w:r>
              <w:rPr>
                <w:rFonts w:eastAsia="新宋体"/>
                <w:bCs/>
                <w:sz w:val="24"/>
              </w:rPr>
              <w:t>在国内首次建构起了紧急权的基本体系，将紧急权区分为自损型、反击型和转嫁型三类，从而为正当防卫、紧急避险、公民扭送权等具体紧急权的研究奠定了较为坚实的理论基础、搭建了较为科学的分析框架。（2）在国内首次从侵害人法益值得保护性的视角，对正当防卫的正当化根基、防卫限度、紧迫性要件、“误判特权”等问题进行了富有新意的深入研讨。（3）在紧急权的研究中广泛吸收政治哲学、宪法学、行政法学、民法学等学科的知识与方法，明显拓展了紧急权研究的视域。</w:t>
            </w:r>
          </w:p>
          <w:p>
            <w:pPr>
              <w:spacing w:line="360" w:lineRule="auto"/>
              <w:ind w:firstLine="480" w:firstLineChars="200"/>
              <w:rPr>
                <w:rFonts w:eastAsia="新宋体"/>
                <w:bCs/>
                <w:sz w:val="24"/>
                <w:lang w:bidi="zh-CN"/>
              </w:rPr>
            </w:pPr>
            <w:r>
              <w:rPr>
                <w:rFonts w:hint="eastAsia" w:eastAsia="新宋体"/>
                <w:bCs/>
                <w:sz w:val="24"/>
              </w:rPr>
              <w:t>2</w:t>
            </w:r>
            <w:r>
              <w:rPr>
                <w:rFonts w:eastAsia="新宋体"/>
                <w:bCs/>
                <w:sz w:val="24"/>
              </w:rPr>
              <w:t xml:space="preserve">. </w:t>
            </w:r>
            <w:r>
              <w:rPr>
                <w:rFonts w:eastAsia="新宋体"/>
                <w:b/>
                <w:sz w:val="24"/>
                <w:u w:val="single"/>
              </w:rPr>
              <w:t>结果归责与过失犯论</w:t>
            </w:r>
            <w:r>
              <w:rPr>
                <w:rFonts w:eastAsia="新宋体"/>
                <w:sz w:val="24"/>
              </w:rPr>
              <w:t>。本人主持了</w:t>
            </w:r>
            <w:r>
              <w:rPr>
                <w:rFonts w:hint="eastAsia" w:eastAsia="新宋体"/>
                <w:b/>
                <w:sz w:val="24"/>
              </w:rPr>
              <w:t>2</w:t>
            </w:r>
            <w:r>
              <w:rPr>
                <w:rFonts w:eastAsia="新宋体"/>
                <w:b/>
                <w:sz w:val="24"/>
              </w:rPr>
              <w:t>022</w:t>
            </w:r>
            <w:r>
              <w:rPr>
                <w:rFonts w:hint="eastAsia" w:eastAsia="新宋体"/>
                <w:b/>
                <w:sz w:val="24"/>
              </w:rPr>
              <w:t>年度</w:t>
            </w:r>
            <w:r>
              <w:rPr>
                <w:rFonts w:eastAsia="新宋体"/>
                <w:b/>
                <w:bCs/>
                <w:sz w:val="24"/>
              </w:rPr>
              <w:t>国家社科基金项目</w:t>
            </w:r>
            <w:r>
              <w:rPr>
                <w:rFonts w:hint="eastAsia" w:eastAsia="新宋体"/>
                <w:bCs/>
                <w:sz w:val="24"/>
              </w:rPr>
              <w:t>“</w:t>
            </w:r>
            <w:r>
              <w:rPr>
                <w:rFonts w:eastAsia="新宋体"/>
                <w:bCs/>
                <w:sz w:val="24"/>
              </w:rPr>
              <w:t>风险社会背景下业务过失犯规制模式的体系化研究</w:t>
            </w:r>
            <w:r>
              <w:rPr>
                <w:rFonts w:hint="eastAsia" w:eastAsia="新宋体"/>
                <w:bCs/>
                <w:sz w:val="24"/>
              </w:rPr>
              <w:t>”</w:t>
            </w:r>
            <w:r>
              <w:rPr>
                <w:rFonts w:eastAsia="新宋体"/>
                <w:bCs/>
                <w:sz w:val="24"/>
              </w:rPr>
              <w:t>（</w:t>
            </w:r>
            <w:r>
              <w:rPr>
                <w:rFonts w:hint="eastAsia" w:eastAsia="新宋体"/>
                <w:bCs/>
                <w:sz w:val="24"/>
              </w:rPr>
              <w:t>批准</w:t>
            </w:r>
            <w:r>
              <w:rPr>
                <w:rFonts w:eastAsia="新宋体"/>
                <w:bCs/>
                <w:sz w:val="24"/>
              </w:rPr>
              <w:t>号：22BFX041，在研）、</w:t>
            </w:r>
            <w:r>
              <w:rPr>
                <w:rFonts w:hint="eastAsia" w:eastAsia="新宋体"/>
                <w:b/>
                <w:sz w:val="24"/>
              </w:rPr>
              <w:t>北京市社会科学基金青年学术带头人项目</w:t>
            </w:r>
            <w:r>
              <w:rPr>
                <w:rFonts w:hint="eastAsia" w:eastAsia="新宋体"/>
                <w:sz w:val="24"/>
              </w:rPr>
              <w:t>“渎职犯罪的结果归责研究”</w:t>
            </w:r>
            <w:r>
              <w:rPr>
                <w:rFonts w:hint="eastAsia" w:eastAsia="新宋体"/>
                <w:bCs/>
                <w:sz w:val="24"/>
              </w:rPr>
              <w:t>（批准号：</w:t>
            </w:r>
            <w:r>
              <w:rPr>
                <w:rFonts w:hint="eastAsia" w:eastAsia="新宋体"/>
                <w:sz w:val="24"/>
              </w:rPr>
              <w:t>2</w:t>
            </w:r>
            <w:r>
              <w:rPr>
                <w:rFonts w:eastAsia="新宋体"/>
                <w:sz w:val="24"/>
              </w:rPr>
              <w:t>1DTR014</w:t>
            </w:r>
            <w:r>
              <w:rPr>
                <w:rFonts w:hint="eastAsia" w:eastAsia="新宋体"/>
                <w:sz w:val="24"/>
              </w:rPr>
              <w:t>，在研</w:t>
            </w:r>
            <w:r>
              <w:rPr>
                <w:rFonts w:hint="eastAsia" w:eastAsia="新宋体"/>
                <w:bCs/>
                <w:sz w:val="24"/>
              </w:rPr>
              <w:t>）、</w:t>
            </w:r>
            <w:r>
              <w:rPr>
                <w:rFonts w:eastAsia="新宋体"/>
                <w:sz w:val="24"/>
              </w:rPr>
              <w:t>中国人民大学科学基金研究项目</w:t>
            </w:r>
            <w:r>
              <w:rPr>
                <w:rFonts w:hint="eastAsia" w:eastAsia="新宋体"/>
                <w:sz w:val="24"/>
              </w:rPr>
              <w:t>“</w:t>
            </w:r>
            <w:r>
              <w:rPr>
                <w:rFonts w:eastAsia="新宋体"/>
                <w:sz w:val="24"/>
              </w:rPr>
              <w:t>过失犯基础理论研究</w:t>
            </w:r>
            <w:r>
              <w:rPr>
                <w:rFonts w:hint="eastAsia" w:eastAsia="新宋体"/>
                <w:sz w:val="24"/>
              </w:rPr>
              <w:t>”（批准号：1</w:t>
            </w:r>
            <w:r>
              <w:rPr>
                <w:rFonts w:eastAsia="新宋体"/>
                <w:sz w:val="24"/>
              </w:rPr>
              <w:t>3</w:t>
            </w:r>
            <w:r>
              <w:rPr>
                <w:rFonts w:hint="eastAsia" w:eastAsia="新宋体"/>
                <w:sz w:val="24"/>
              </w:rPr>
              <w:t>XNF</w:t>
            </w:r>
            <w:r>
              <w:rPr>
                <w:rFonts w:eastAsia="新宋体"/>
                <w:sz w:val="24"/>
              </w:rPr>
              <w:t>004</w:t>
            </w:r>
            <w:r>
              <w:rPr>
                <w:rFonts w:hint="eastAsia" w:eastAsia="新宋体"/>
                <w:sz w:val="24"/>
              </w:rPr>
              <w:t>，已结项），</w:t>
            </w:r>
            <w:r>
              <w:rPr>
                <w:rFonts w:eastAsia="新宋体"/>
                <w:bCs/>
                <w:sz w:val="24"/>
              </w:rPr>
              <w:t>围绕该项目主题陆续在《法学研究》、《中国法学》等期刊发表了</w:t>
            </w:r>
            <w:r>
              <w:rPr>
                <w:rFonts w:hint="eastAsia" w:eastAsia="新宋体"/>
                <w:bCs/>
                <w:sz w:val="24"/>
              </w:rPr>
              <w:t>1</w:t>
            </w:r>
            <w:r>
              <w:rPr>
                <w:rFonts w:eastAsia="新宋体"/>
                <w:bCs/>
                <w:sz w:val="24"/>
              </w:rPr>
              <w:t>0篇论文</w:t>
            </w:r>
            <w:r>
              <w:rPr>
                <w:rFonts w:hint="eastAsia" w:eastAsia="新宋体"/>
                <w:bCs/>
                <w:sz w:val="24"/>
              </w:rPr>
              <w:t>，出版专著一部</w:t>
            </w:r>
            <w:r>
              <w:rPr>
                <w:rFonts w:eastAsia="新宋体"/>
                <w:bCs/>
                <w:sz w:val="24"/>
              </w:rPr>
              <w:t>。</w:t>
            </w:r>
            <w:r>
              <w:rPr>
                <w:rFonts w:eastAsia="新宋体"/>
                <w:bCs/>
                <w:sz w:val="24"/>
                <w:lang w:bidi="zh-CN"/>
              </w:rPr>
              <w:t>主要学术创新和贡献包括：（1）在我国刑法学界首次对注意义务的规范本质展开了系统探讨，并提出了行为规范与能力维持规范相区分的二元规范学说。（2）借鉴现代客观归责理论的最新研究成果，将危险判断标准、合义务替代行为、注意义务的规范保护目的等问题的研究推向了一个新的高度。（3）在细致整理现有司法判例的基础上，为司法实践对于违法性认识、交通肇事等过失犯罪的结果归责问题的解决，提出了具有实践可操作性的指导标准。</w:t>
            </w:r>
          </w:p>
          <w:p>
            <w:pPr>
              <w:spacing w:line="360" w:lineRule="auto"/>
              <w:ind w:firstLine="480" w:firstLineChars="200"/>
              <w:rPr>
                <w:rFonts w:eastAsia="新宋体"/>
                <w:bCs/>
                <w:sz w:val="24"/>
                <w:lang w:val="zh-CN" w:bidi="zh-CN"/>
              </w:rPr>
            </w:pPr>
            <w:r>
              <w:rPr>
                <w:rFonts w:hint="eastAsia" w:eastAsia="新宋体"/>
                <w:bCs/>
                <w:sz w:val="24"/>
                <w:lang w:bidi="zh-CN"/>
              </w:rPr>
              <w:t>3</w:t>
            </w:r>
            <w:r>
              <w:rPr>
                <w:rFonts w:eastAsia="新宋体"/>
                <w:bCs/>
                <w:sz w:val="24"/>
                <w:lang w:bidi="zh-CN"/>
              </w:rPr>
              <w:t xml:space="preserve">. </w:t>
            </w:r>
            <w:r>
              <w:rPr>
                <w:rFonts w:eastAsia="新宋体"/>
                <w:b/>
                <w:bCs/>
                <w:sz w:val="24"/>
                <w:u w:val="single"/>
                <w:lang w:val="zh-CN" w:bidi="zh-CN"/>
              </w:rPr>
              <w:t>不法理论的基本立场与发展趋势</w:t>
            </w:r>
            <w:r>
              <w:rPr>
                <w:rFonts w:eastAsia="新宋体"/>
                <w:bCs/>
                <w:sz w:val="24"/>
                <w:lang w:val="zh-CN" w:bidi="zh-CN"/>
              </w:rPr>
              <w:t>。</w:t>
            </w:r>
            <w:r>
              <w:rPr>
                <w:rFonts w:hint="eastAsia" w:eastAsia="新宋体"/>
                <w:bCs/>
                <w:sz w:val="24"/>
                <w:lang w:val="zh-CN" w:bidi="zh-CN"/>
              </w:rPr>
              <w:t>本人</w:t>
            </w:r>
            <w:r>
              <w:rPr>
                <w:rFonts w:eastAsia="新宋体"/>
                <w:bCs/>
                <w:sz w:val="24"/>
                <w:lang w:bidi="zh-CN"/>
              </w:rPr>
              <w:t>围绕该主题在《法学研究》、《中</w:t>
            </w:r>
            <w:r>
              <w:rPr>
                <w:rFonts w:hint="eastAsia" w:eastAsia="新宋体"/>
                <w:bCs/>
                <w:sz w:val="24"/>
                <w:lang w:bidi="zh-CN"/>
              </w:rPr>
              <w:t>外</w:t>
            </w:r>
            <w:r>
              <w:rPr>
                <w:rFonts w:eastAsia="新宋体"/>
                <w:bCs/>
                <w:sz w:val="24"/>
                <w:lang w:bidi="zh-CN"/>
              </w:rPr>
              <w:t>法学》等期刊发表了</w:t>
            </w:r>
            <w:r>
              <w:rPr>
                <w:rFonts w:hint="eastAsia" w:eastAsia="新宋体"/>
                <w:bCs/>
                <w:sz w:val="24"/>
                <w:lang w:bidi="zh-CN"/>
              </w:rPr>
              <w:t>数</w:t>
            </w:r>
            <w:r>
              <w:rPr>
                <w:rFonts w:eastAsia="新宋体"/>
                <w:bCs/>
                <w:sz w:val="24"/>
                <w:lang w:bidi="zh-CN"/>
              </w:rPr>
              <w:t>篇论文</w:t>
            </w:r>
            <w:r>
              <w:rPr>
                <w:rFonts w:hint="eastAsia" w:eastAsia="新宋体"/>
                <w:bCs/>
                <w:sz w:val="24"/>
                <w:lang w:bidi="zh-CN"/>
              </w:rPr>
              <w:t>，出版专著一部</w:t>
            </w:r>
            <w:r>
              <w:rPr>
                <w:rFonts w:eastAsia="新宋体"/>
                <w:bCs/>
                <w:sz w:val="24"/>
                <w:lang w:bidi="zh-CN"/>
              </w:rPr>
              <w:t>。</w:t>
            </w:r>
            <w:r>
              <w:rPr>
                <w:rFonts w:eastAsia="新宋体"/>
                <w:bCs/>
                <w:sz w:val="24"/>
                <w:lang w:val="zh-CN" w:bidi="zh-CN"/>
              </w:rPr>
              <w:t>主要学术创新和贡献包括：（1）以翔实的一手德文文献为基础，较为详尽和清晰地梳理了德国结果无价值与行为无价值论之争的发展脉络和理论现状，使我国学者得以系统了解不法理论之争发源地的理论发展全貌。（2）从规则功利主义与行为功利主义、法益侵害说与规范违反说、古典犯罪论体系与综合型犯罪论体系等多个维度，对我国刑法学界的结果无价值与行为无价值论之争存在的误区进行了清理，对业已形成的共识进行了总结，并对未来的发展方向予以了展望。</w:t>
            </w:r>
            <w:r>
              <w:rPr>
                <w:rFonts w:hint="eastAsia" w:eastAsia="新宋体"/>
                <w:bCs/>
                <w:sz w:val="24"/>
                <w:lang w:val="zh-CN" w:bidi="zh-CN"/>
              </w:rPr>
              <w:t>（3）深化了关于刑事立法合宪性检验的研究。</w:t>
            </w:r>
          </w:p>
          <w:p>
            <w:pPr>
              <w:spacing w:line="360" w:lineRule="auto"/>
              <w:ind w:firstLine="480" w:firstLineChars="200"/>
              <w:rPr>
                <w:rFonts w:eastAsia="新宋体"/>
                <w:bCs/>
                <w:sz w:val="24"/>
                <w:lang w:val="zh-CN" w:bidi="zh-CN"/>
              </w:rPr>
            </w:pPr>
          </w:p>
          <w:p>
            <w:pPr>
              <w:spacing w:line="360" w:lineRule="auto"/>
              <w:ind w:firstLine="480" w:firstLineChars="200"/>
              <w:rPr>
                <w:rFonts w:eastAsia="新宋体"/>
                <w:sz w:val="24"/>
              </w:rPr>
            </w:pPr>
            <w:r>
              <w:rPr>
                <w:rFonts w:hint="eastAsia" w:eastAsia="新宋体"/>
                <w:bCs/>
                <w:sz w:val="24"/>
                <w:lang w:val="zh-CN" w:bidi="zh-CN"/>
              </w:rPr>
              <w:t>本人重要学术成果如下：</w:t>
            </w:r>
          </w:p>
          <w:p>
            <w:pPr>
              <w:spacing w:line="360" w:lineRule="auto"/>
              <w:ind w:firstLine="480" w:firstLineChars="200"/>
              <w:rPr>
                <w:rFonts w:ascii="黑体" w:hAnsi="黑体" w:eastAsia="黑体"/>
                <w:b/>
                <w:sz w:val="24"/>
              </w:rPr>
            </w:pPr>
            <w:r>
              <w:rPr>
                <w:rFonts w:hint="eastAsia" w:ascii="黑体" w:hAnsi="黑体" w:eastAsia="黑体"/>
                <w:sz w:val="24"/>
              </w:rPr>
              <w:t>一、</w:t>
            </w:r>
            <w:r>
              <w:rPr>
                <w:rFonts w:hint="eastAsia" w:ascii="黑体" w:hAnsi="黑体" w:eastAsia="黑体"/>
                <w:b/>
                <w:sz w:val="24"/>
              </w:rPr>
              <w:t>专著</w:t>
            </w:r>
            <w:r>
              <w:rPr>
                <w:rFonts w:hint="eastAsia" w:ascii="黑体" w:hAnsi="黑体" w:eastAsia="黑体"/>
                <w:sz w:val="24"/>
              </w:rPr>
              <w:t>（均为独著，有下划线者为代表性成果）</w:t>
            </w:r>
            <w:r>
              <w:rPr>
                <w:rFonts w:hint="eastAsia" w:ascii="黑体" w:hAnsi="黑体" w:eastAsia="黑体"/>
                <w:b/>
                <w:sz w:val="24"/>
              </w:rPr>
              <w:t>：</w:t>
            </w:r>
          </w:p>
          <w:p>
            <w:pPr>
              <w:numPr>
                <w:ilvl w:val="3"/>
                <w:numId w:val="2"/>
              </w:numPr>
              <w:spacing w:line="360" w:lineRule="auto"/>
              <w:rPr>
                <w:b/>
                <w:sz w:val="24"/>
                <w:u w:val="single"/>
              </w:rPr>
            </w:pPr>
            <w:r>
              <w:rPr>
                <w:rFonts w:hint="eastAsia"/>
                <w:b/>
                <w:sz w:val="24"/>
                <w:u w:val="single"/>
              </w:rPr>
              <w:t>《正当防卫：理念、学说与制度适用》，中国检察出版社2020年版，3</w:t>
            </w:r>
            <w:r>
              <w:rPr>
                <w:b/>
                <w:sz w:val="24"/>
                <w:u w:val="single"/>
              </w:rPr>
              <w:t>3.4</w:t>
            </w:r>
            <w:r>
              <w:rPr>
                <w:rFonts w:hint="eastAsia"/>
                <w:b/>
                <w:sz w:val="24"/>
                <w:u w:val="single"/>
              </w:rPr>
              <w:t>万字，知网被引数：2</w:t>
            </w:r>
            <w:r>
              <w:rPr>
                <w:b/>
                <w:sz w:val="24"/>
                <w:u w:val="single"/>
              </w:rPr>
              <w:t>4</w:t>
            </w:r>
            <w:r>
              <w:rPr>
                <w:rFonts w:hint="eastAsia"/>
                <w:b/>
                <w:sz w:val="24"/>
                <w:u w:val="single"/>
              </w:rPr>
              <w:t>。</w:t>
            </w:r>
          </w:p>
          <w:p>
            <w:pPr>
              <w:numPr>
                <w:ilvl w:val="3"/>
                <w:numId w:val="2"/>
              </w:numPr>
              <w:spacing w:line="360" w:lineRule="auto"/>
              <w:rPr>
                <w:b/>
                <w:sz w:val="24"/>
                <w:u w:val="single"/>
              </w:rPr>
            </w:pPr>
            <w:r>
              <w:rPr>
                <w:rFonts w:hint="eastAsia"/>
                <w:b/>
                <w:sz w:val="24"/>
                <w:u w:val="single"/>
              </w:rPr>
              <w:t>《刑法归责原理的规范化展开》，法律出版社2019年版，2</w:t>
            </w:r>
            <w:r>
              <w:rPr>
                <w:b/>
                <w:sz w:val="24"/>
                <w:u w:val="single"/>
              </w:rPr>
              <w:t>7.5</w:t>
            </w:r>
            <w:r>
              <w:rPr>
                <w:rFonts w:hint="eastAsia"/>
                <w:b/>
                <w:sz w:val="24"/>
                <w:u w:val="single"/>
              </w:rPr>
              <w:t>万字，知网被引数：4</w:t>
            </w:r>
            <w:r>
              <w:rPr>
                <w:b/>
                <w:sz w:val="24"/>
                <w:u w:val="single"/>
              </w:rPr>
              <w:t>3</w:t>
            </w:r>
            <w:r>
              <w:rPr>
                <w:rFonts w:hint="eastAsia"/>
                <w:b/>
                <w:sz w:val="24"/>
                <w:u w:val="single"/>
              </w:rPr>
              <w:t>。</w:t>
            </w:r>
          </w:p>
          <w:p>
            <w:pPr>
              <w:numPr>
                <w:ilvl w:val="3"/>
                <w:numId w:val="2"/>
              </w:numPr>
              <w:spacing w:line="360" w:lineRule="auto"/>
              <w:rPr>
                <w:sz w:val="24"/>
              </w:rPr>
            </w:pPr>
            <w:r>
              <w:rPr>
                <w:rFonts w:hint="eastAsia"/>
                <w:sz w:val="24"/>
              </w:rPr>
              <w:t>《紧急权：体系建构与基本原理》，北京大学出版社2</w:t>
            </w:r>
            <w:r>
              <w:rPr>
                <w:sz w:val="24"/>
              </w:rPr>
              <w:t>021</w:t>
            </w:r>
            <w:r>
              <w:rPr>
                <w:rFonts w:hint="eastAsia"/>
                <w:sz w:val="24"/>
              </w:rPr>
              <w:t>年版，</w:t>
            </w:r>
            <w:r>
              <w:rPr>
                <w:sz w:val="24"/>
              </w:rPr>
              <w:t>31.6</w:t>
            </w:r>
            <w:r>
              <w:rPr>
                <w:rFonts w:hint="eastAsia"/>
                <w:sz w:val="24"/>
              </w:rPr>
              <w:t>万字。</w:t>
            </w:r>
          </w:p>
          <w:p>
            <w:pPr>
              <w:numPr>
                <w:ilvl w:val="3"/>
                <w:numId w:val="2"/>
              </w:numPr>
              <w:spacing w:line="360" w:lineRule="auto"/>
              <w:rPr>
                <w:sz w:val="24"/>
              </w:rPr>
            </w:pPr>
            <w:r>
              <w:rPr>
                <w:rFonts w:hint="eastAsia"/>
                <w:sz w:val="24"/>
              </w:rPr>
              <w:t>《刑法中社会相当性理论研究》，法律出版社2010年版，2</w:t>
            </w:r>
            <w:r>
              <w:rPr>
                <w:sz w:val="24"/>
              </w:rPr>
              <w:t>5.7</w:t>
            </w:r>
            <w:r>
              <w:rPr>
                <w:rFonts w:hint="eastAsia"/>
                <w:sz w:val="24"/>
              </w:rPr>
              <w:t>万字。</w:t>
            </w:r>
          </w:p>
          <w:p>
            <w:pPr>
              <w:spacing w:line="360" w:lineRule="auto"/>
              <w:rPr>
                <w:sz w:val="24"/>
              </w:rPr>
            </w:pPr>
          </w:p>
          <w:p>
            <w:pPr>
              <w:spacing w:line="360" w:lineRule="auto"/>
              <w:ind w:firstLine="482" w:firstLineChars="200"/>
              <w:rPr>
                <w:rFonts w:ascii="黑体" w:hAnsi="黑体" w:eastAsia="黑体"/>
                <w:sz w:val="24"/>
                <w:u w:val="single"/>
              </w:rPr>
            </w:pPr>
            <w:r>
              <w:rPr>
                <w:rFonts w:hint="eastAsia" w:ascii="黑体" w:hAnsi="黑体" w:eastAsia="黑体"/>
                <w:b/>
                <w:sz w:val="24"/>
              </w:rPr>
              <w:t>二、论文</w:t>
            </w:r>
            <w:r>
              <w:rPr>
                <w:rFonts w:hint="eastAsia" w:ascii="黑体" w:hAnsi="黑体" w:eastAsia="黑体"/>
                <w:bCs/>
                <w:sz w:val="24"/>
              </w:rPr>
              <w:t>（均为独著，有下划线者为代表性成果）：</w:t>
            </w:r>
          </w:p>
          <w:p>
            <w:pPr>
              <w:widowControl/>
              <w:numPr>
                <w:ilvl w:val="0"/>
                <w:numId w:val="3"/>
              </w:numPr>
              <w:spacing w:line="360" w:lineRule="auto"/>
              <w:jc w:val="left"/>
              <w:rPr>
                <w:b/>
                <w:sz w:val="24"/>
                <w:u w:val="single"/>
              </w:rPr>
            </w:pPr>
            <w:r>
              <w:rPr>
                <w:rFonts w:hint="eastAsia"/>
                <w:b/>
                <w:sz w:val="24"/>
                <w:u w:val="single"/>
              </w:rPr>
              <w:t>《正当防卫中的“误判特权”及其边界》，载《中国法学》2019年第2期，2</w:t>
            </w:r>
            <w:r>
              <w:rPr>
                <w:b/>
                <w:sz w:val="24"/>
                <w:u w:val="single"/>
              </w:rPr>
              <w:t>.6</w:t>
            </w:r>
            <w:r>
              <w:rPr>
                <w:rFonts w:hint="eastAsia"/>
                <w:b/>
                <w:sz w:val="24"/>
                <w:u w:val="single"/>
              </w:rPr>
              <w:t>万字，知网被引数：</w:t>
            </w:r>
            <w:r>
              <w:rPr>
                <w:b/>
                <w:sz w:val="24"/>
                <w:u w:val="single"/>
              </w:rPr>
              <w:t>55</w:t>
            </w:r>
            <w:r>
              <w:rPr>
                <w:rFonts w:hint="eastAsia"/>
                <w:b/>
                <w:sz w:val="24"/>
                <w:u w:val="single"/>
              </w:rPr>
              <w:t>。</w:t>
            </w:r>
          </w:p>
          <w:p>
            <w:pPr>
              <w:widowControl/>
              <w:numPr>
                <w:ilvl w:val="0"/>
                <w:numId w:val="3"/>
              </w:numPr>
              <w:spacing w:line="360" w:lineRule="auto"/>
              <w:jc w:val="left"/>
              <w:rPr>
                <w:b/>
                <w:sz w:val="24"/>
                <w:u w:val="single"/>
              </w:rPr>
            </w:pPr>
            <w:r>
              <w:rPr>
                <w:rFonts w:hint="eastAsia"/>
                <w:b/>
                <w:sz w:val="24"/>
                <w:u w:val="single"/>
              </w:rPr>
              <w:t>《注意义务的规范本质与判断标准》，载《法学研究》2019年第1期，2</w:t>
            </w:r>
            <w:r>
              <w:rPr>
                <w:b/>
                <w:sz w:val="24"/>
                <w:u w:val="single"/>
              </w:rPr>
              <w:t>.2</w:t>
            </w:r>
            <w:r>
              <w:rPr>
                <w:rFonts w:hint="eastAsia"/>
                <w:b/>
                <w:sz w:val="24"/>
                <w:u w:val="single"/>
              </w:rPr>
              <w:t>万字，知网被引数：</w:t>
            </w:r>
            <w:r>
              <w:rPr>
                <w:b/>
                <w:sz w:val="24"/>
                <w:u w:val="single"/>
              </w:rPr>
              <w:t>85</w:t>
            </w:r>
            <w:r>
              <w:rPr>
                <w:rFonts w:hint="eastAsia"/>
                <w:b/>
                <w:sz w:val="24"/>
                <w:u w:val="single"/>
              </w:rPr>
              <w:t>。</w:t>
            </w:r>
          </w:p>
          <w:p>
            <w:pPr>
              <w:widowControl/>
              <w:numPr>
                <w:ilvl w:val="0"/>
                <w:numId w:val="3"/>
              </w:numPr>
              <w:spacing w:line="360" w:lineRule="auto"/>
              <w:jc w:val="left"/>
              <w:rPr>
                <w:b/>
                <w:sz w:val="24"/>
                <w:u w:val="single"/>
              </w:rPr>
            </w:pPr>
            <w:r>
              <w:rPr>
                <w:rFonts w:hint="eastAsia"/>
                <w:b/>
                <w:sz w:val="24"/>
                <w:u w:val="single"/>
              </w:rPr>
              <w:t>《生命冲突、紧急避险与责任阻却》，载《法学研究》2016年第5期，2</w:t>
            </w:r>
            <w:r>
              <w:rPr>
                <w:b/>
                <w:sz w:val="24"/>
                <w:u w:val="single"/>
              </w:rPr>
              <w:t>.5</w:t>
            </w:r>
            <w:r>
              <w:rPr>
                <w:rFonts w:hint="eastAsia"/>
                <w:b/>
                <w:sz w:val="24"/>
                <w:u w:val="single"/>
              </w:rPr>
              <w:t>万字，知网被引数：</w:t>
            </w:r>
            <w:r>
              <w:rPr>
                <w:b/>
                <w:sz w:val="24"/>
                <w:u w:val="single"/>
              </w:rPr>
              <w:t>73</w:t>
            </w:r>
            <w:r>
              <w:rPr>
                <w:rFonts w:hint="eastAsia"/>
                <w:b/>
                <w:sz w:val="24"/>
                <w:u w:val="single"/>
              </w:rPr>
              <w:t>。</w:t>
            </w:r>
          </w:p>
          <w:p>
            <w:pPr>
              <w:widowControl/>
              <w:numPr>
                <w:ilvl w:val="0"/>
                <w:numId w:val="3"/>
              </w:numPr>
              <w:spacing w:line="360" w:lineRule="auto"/>
              <w:jc w:val="left"/>
              <w:rPr>
                <w:b/>
                <w:sz w:val="24"/>
                <w:u w:val="single"/>
              </w:rPr>
            </w:pPr>
            <w:r>
              <w:rPr>
                <w:rFonts w:hint="eastAsia"/>
                <w:b/>
                <w:sz w:val="24"/>
                <w:u w:val="single"/>
              </w:rPr>
              <w:t>《侵害人视角下的正当防卫论》，载《法学研究》2015年第3期，2</w:t>
            </w:r>
            <w:r>
              <w:rPr>
                <w:b/>
                <w:sz w:val="24"/>
                <w:u w:val="single"/>
              </w:rPr>
              <w:t>.2</w:t>
            </w:r>
            <w:r>
              <w:rPr>
                <w:rFonts w:hint="eastAsia"/>
                <w:b/>
                <w:sz w:val="24"/>
                <w:u w:val="single"/>
              </w:rPr>
              <w:t>万字，知网被引数：</w:t>
            </w:r>
            <w:r>
              <w:rPr>
                <w:b/>
                <w:sz w:val="24"/>
                <w:u w:val="single"/>
              </w:rPr>
              <w:t>286</w:t>
            </w:r>
            <w:r>
              <w:rPr>
                <w:rFonts w:hint="eastAsia"/>
                <w:b/>
                <w:sz w:val="24"/>
                <w:u w:val="single"/>
              </w:rPr>
              <w:t>。</w:t>
            </w:r>
          </w:p>
          <w:p>
            <w:pPr>
              <w:widowControl/>
              <w:numPr>
                <w:ilvl w:val="0"/>
                <w:numId w:val="3"/>
              </w:numPr>
              <w:spacing w:line="360" w:lineRule="auto"/>
              <w:jc w:val="left"/>
              <w:rPr>
                <w:b/>
                <w:sz w:val="24"/>
                <w:u w:val="single"/>
              </w:rPr>
            </w:pPr>
            <w:r>
              <w:rPr>
                <w:rFonts w:hint="eastAsia"/>
                <w:b/>
                <w:sz w:val="24"/>
                <w:u w:val="single"/>
              </w:rPr>
              <w:t>《论客观归责中危险的判断方法 ——“以行为时全体客观事实为基础的一般人预测”之提倡》，载《中国法学》2011年第3期，2万字，知网被引数：1</w:t>
            </w:r>
            <w:r>
              <w:rPr>
                <w:b/>
                <w:sz w:val="24"/>
                <w:u w:val="single"/>
              </w:rPr>
              <w:t>28</w:t>
            </w:r>
            <w:r>
              <w:rPr>
                <w:rFonts w:hint="eastAsia"/>
                <w:b/>
                <w:sz w:val="24"/>
                <w:u w:val="single"/>
              </w:rPr>
              <w:t>。</w:t>
            </w:r>
          </w:p>
          <w:p>
            <w:pPr>
              <w:widowControl/>
              <w:numPr>
                <w:ilvl w:val="0"/>
                <w:numId w:val="3"/>
              </w:numPr>
              <w:spacing w:line="360" w:lineRule="auto"/>
              <w:jc w:val="left"/>
              <w:rPr>
                <w:sz w:val="24"/>
              </w:rPr>
            </w:pPr>
            <w:r>
              <w:rPr>
                <w:rFonts w:hint="eastAsia"/>
                <w:sz w:val="24"/>
              </w:rPr>
              <w:t>《客观的未遂犯处罚根据论之提倡——兼从比较法之角度对计划理论和印象理论的质疑》，载《法学研究》2011年第2期，2万字。</w:t>
            </w:r>
          </w:p>
          <w:p>
            <w:pPr>
              <w:widowControl/>
              <w:numPr>
                <w:ilvl w:val="0"/>
                <w:numId w:val="3"/>
              </w:numPr>
              <w:spacing w:line="360" w:lineRule="auto"/>
              <w:jc w:val="left"/>
              <w:rPr>
                <w:sz w:val="24"/>
              </w:rPr>
            </w:pPr>
            <w:r>
              <w:rPr>
                <w:rFonts w:hint="eastAsia"/>
                <w:sz w:val="24"/>
              </w:rPr>
              <w:t>《危险接受的自愿性：分析视角与判断标准》，载《法学》2</w:t>
            </w:r>
            <w:r>
              <w:rPr>
                <w:sz w:val="24"/>
              </w:rPr>
              <w:t>022</w:t>
            </w:r>
            <w:r>
              <w:rPr>
                <w:rFonts w:hint="eastAsia"/>
                <w:sz w:val="24"/>
              </w:rPr>
              <w:t>年第1</w:t>
            </w:r>
            <w:r>
              <w:rPr>
                <w:sz w:val="24"/>
              </w:rPr>
              <w:t>1</w:t>
            </w:r>
            <w:r>
              <w:rPr>
                <w:rFonts w:hint="eastAsia"/>
                <w:sz w:val="24"/>
              </w:rPr>
              <w:t>期，1</w:t>
            </w:r>
            <w:r>
              <w:rPr>
                <w:sz w:val="24"/>
              </w:rPr>
              <w:t>.8</w:t>
            </w:r>
            <w:r>
              <w:rPr>
                <w:rFonts w:hint="eastAsia"/>
                <w:sz w:val="24"/>
              </w:rPr>
              <w:t>万字。</w:t>
            </w:r>
          </w:p>
          <w:p>
            <w:pPr>
              <w:widowControl/>
              <w:numPr>
                <w:ilvl w:val="0"/>
                <w:numId w:val="3"/>
              </w:numPr>
              <w:spacing w:line="360" w:lineRule="auto"/>
              <w:jc w:val="left"/>
              <w:rPr>
                <w:sz w:val="24"/>
              </w:rPr>
            </w:pPr>
            <w:r>
              <w:rPr>
                <w:rFonts w:hint="eastAsia"/>
                <w:sz w:val="24"/>
              </w:rPr>
              <w:t>《刑法教义学科学性与实践性的功能分化》，载《法制与社会发展》2</w:t>
            </w:r>
            <w:r>
              <w:rPr>
                <w:sz w:val="24"/>
              </w:rPr>
              <w:t>022</w:t>
            </w:r>
            <w:r>
              <w:rPr>
                <w:rFonts w:hint="eastAsia"/>
                <w:sz w:val="24"/>
              </w:rPr>
              <w:t>年第3期，2</w:t>
            </w:r>
            <w:r>
              <w:rPr>
                <w:sz w:val="24"/>
              </w:rPr>
              <w:t>.5</w:t>
            </w:r>
            <w:r>
              <w:rPr>
                <w:rFonts w:hint="eastAsia"/>
                <w:sz w:val="24"/>
              </w:rPr>
              <w:t>万字。</w:t>
            </w:r>
          </w:p>
          <w:p>
            <w:pPr>
              <w:widowControl/>
              <w:numPr>
                <w:ilvl w:val="0"/>
                <w:numId w:val="3"/>
              </w:numPr>
              <w:spacing w:line="360" w:lineRule="auto"/>
              <w:jc w:val="left"/>
              <w:rPr>
                <w:sz w:val="24"/>
              </w:rPr>
            </w:pPr>
            <w:r>
              <w:rPr>
                <w:rFonts w:hint="eastAsia"/>
                <w:sz w:val="24"/>
              </w:rPr>
              <w:t>《紧急权：体系建构、竞合适用与层级划分》，载《中外法学》2021年第1期，2</w:t>
            </w:r>
            <w:r>
              <w:rPr>
                <w:sz w:val="24"/>
              </w:rPr>
              <w:t>.5</w:t>
            </w:r>
            <w:r>
              <w:rPr>
                <w:rFonts w:hint="eastAsia"/>
                <w:sz w:val="24"/>
              </w:rPr>
              <w:t>万字。</w:t>
            </w:r>
          </w:p>
          <w:p>
            <w:pPr>
              <w:widowControl/>
              <w:numPr>
                <w:ilvl w:val="0"/>
                <w:numId w:val="3"/>
              </w:numPr>
              <w:spacing w:line="360" w:lineRule="auto"/>
              <w:jc w:val="left"/>
              <w:rPr>
                <w:sz w:val="24"/>
              </w:rPr>
            </w:pPr>
            <w:r>
              <w:rPr>
                <w:rFonts w:hint="eastAsia"/>
                <w:sz w:val="24"/>
              </w:rPr>
              <w:t>《标准人的心素与注意义务的边界》，载《清华法学》2020年第6期，</w:t>
            </w:r>
            <w:r>
              <w:rPr>
                <w:sz w:val="24"/>
              </w:rPr>
              <w:t>3.2</w:t>
            </w:r>
            <w:r>
              <w:rPr>
                <w:rFonts w:hint="eastAsia"/>
                <w:sz w:val="24"/>
              </w:rPr>
              <w:t>万字。</w:t>
            </w:r>
          </w:p>
          <w:p>
            <w:pPr>
              <w:widowControl/>
              <w:numPr>
                <w:ilvl w:val="0"/>
                <w:numId w:val="3"/>
              </w:numPr>
              <w:spacing w:line="360" w:lineRule="auto"/>
              <w:jc w:val="left"/>
              <w:rPr>
                <w:sz w:val="24"/>
              </w:rPr>
            </w:pPr>
            <w:r>
              <w:rPr>
                <w:sz w:val="24"/>
              </w:rPr>
              <w:t>《防卫过当中的罪量要素——兼论“防卫过当民刑二元化”立法模式的法理依据》，载《政法论坛》2020年第5期</w:t>
            </w:r>
            <w:r>
              <w:rPr>
                <w:rFonts w:hint="eastAsia"/>
                <w:sz w:val="24"/>
              </w:rPr>
              <w:t>，2万字</w:t>
            </w:r>
            <w:r>
              <w:rPr>
                <w:sz w:val="24"/>
              </w:rPr>
              <w:t>。</w:t>
            </w:r>
          </w:p>
          <w:p>
            <w:pPr>
              <w:widowControl/>
              <w:numPr>
                <w:ilvl w:val="0"/>
                <w:numId w:val="3"/>
              </w:numPr>
              <w:spacing w:line="360" w:lineRule="auto"/>
              <w:jc w:val="left"/>
              <w:rPr>
                <w:sz w:val="24"/>
              </w:rPr>
            </w:pPr>
            <w:r>
              <w:rPr>
                <w:rFonts w:hint="eastAsia"/>
                <w:sz w:val="24"/>
              </w:rPr>
              <w:t>《</w:t>
            </w:r>
            <w:r>
              <w:rPr>
                <w:sz w:val="24"/>
              </w:rPr>
              <w:t>不法与责任的区分：实践技术与目的理性之间的张力</w:t>
            </w:r>
            <w:r>
              <w:rPr>
                <w:rFonts w:hint="eastAsia"/>
                <w:sz w:val="24"/>
              </w:rPr>
              <w:t>》，载《中国法律评论》2020年第4期，1</w:t>
            </w:r>
            <w:r>
              <w:rPr>
                <w:sz w:val="24"/>
              </w:rPr>
              <w:t>.8</w:t>
            </w:r>
            <w:r>
              <w:rPr>
                <w:rFonts w:hint="eastAsia"/>
                <w:sz w:val="24"/>
              </w:rPr>
              <w:t>万字。</w:t>
            </w:r>
          </w:p>
          <w:p>
            <w:pPr>
              <w:widowControl/>
              <w:numPr>
                <w:ilvl w:val="0"/>
                <w:numId w:val="3"/>
              </w:numPr>
              <w:spacing w:line="360" w:lineRule="auto"/>
              <w:jc w:val="left"/>
              <w:rPr>
                <w:sz w:val="24"/>
              </w:rPr>
            </w:pPr>
            <w:r>
              <w:rPr>
                <w:rFonts w:hint="eastAsia"/>
                <w:sz w:val="24"/>
              </w:rPr>
              <w:t>《法益概念与刑事立法正当性检验》，载《比较法研究》2020年第3期，</w:t>
            </w:r>
            <w:r>
              <w:rPr>
                <w:sz w:val="24"/>
              </w:rPr>
              <w:t>3</w:t>
            </w:r>
            <w:r>
              <w:rPr>
                <w:rFonts w:hint="eastAsia"/>
                <w:sz w:val="24"/>
              </w:rPr>
              <w:t>万字。</w:t>
            </w:r>
          </w:p>
          <w:p>
            <w:pPr>
              <w:widowControl/>
              <w:numPr>
                <w:ilvl w:val="0"/>
                <w:numId w:val="3"/>
              </w:numPr>
              <w:spacing w:line="360" w:lineRule="auto"/>
              <w:jc w:val="left"/>
              <w:rPr>
                <w:sz w:val="24"/>
              </w:rPr>
            </w:pPr>
            <w:r>
              <w:rPr>
                <w:rFonts w:hint="eastAsia"/>
                <w:sz w:val="24"/>
              </w:rPr>
              <w:t>《建构具有中国气派和国际视野的刑法理论——高铭暄刑法学思想研究》，载《中国人民大学学报》2</w:t>
            </w:r>
            <w:r>
              <w:rPr>
                <w:sz w:val="24"/>
              </w:rPr>
              <w:t>020</w:t>
            </w:r>
            <w:r>
              <w:rPr>
                <w:rFonts w:hint="eastAsia"/>
                <w:sz w:val="24"/>
              </w:rPr>
              <w:t>年第2期，1</w:t>
            </w:r>
            <w:r>
              <w:rPr>
                <w:sz w:val="24"/>
              </w:rPr>
              <w:t>.5</w:t>
            </w:r>
            <w:r>
              <w:rPr>
                <w:rFonts w:hint="eastAsia"/>
                <w:sz w:val="24"/>
              </w:rPr>
              <w:t>万字。</w:t>
            </w:r>
          </w:p>
          <w:p>
            <w:pPr>
              <w:widowControl/>
              <w:numPr>
                <w:ilvl w:val="0"/>
                <w:numId w:val="3"/>
              </w:numPr>
              <w:spacing w:line="360" w:lineRule="auto"/>
              <w:jc w:val="left"/>
              <w:rPr>
                <w:sz w:val="24"/>
              </w:rPr>
            </w:pPr>
            <w:r>
              <w:rPr>
                <w:rFonts w:hint="eastAsia"/>
                <w:sz w:val="24"/>
              </w:rPr>
              <w:t>《公民扭送权：本质探寻与规范续造》，载《法学评论》2019年第3期，2万字。</w:t>
            </w:r>
          </w:p>
          <w:p>
            <w:pPr>
              <w:widowControl/>
              <w:numPr>
                <w:ilvl w:val="0"/>
                <w:numId w:val="3"/>
              </w:numPr>
              <w:spacing w:line="360" w:lineRule="auto"/>
              <w:jc w:val="left"/>
              <w:rPr>
                <w:sz w:val="24"/>
              </w:rPr>
            </w:pPr>
            <w:r>
              <w:rPr>
                <w:rFonts w:hint="eastAsia"/>
                <w:sz w:val="24"/>
              </w:rPr>
              <w:t>《责任原则、预防政策与违法性认识》，载《清华法学》2018年第5期，</w:t>
            </w:r>
            <w:r>
              <w:rPr>
                <w:sz w:val="24"/>
              </w:rPr>
              <w:t>2.6</w:t>
            </w:r>
            <w:r>
              <w:rPr>
                <w:rFonts w:hint="eastAsia"/>
                <w:sz w:val="24"/>
              </w:rPr>
              <w:t>万字。</w:t>
            </w:r>
          </w:p>
          <w:p>
            <w:pPr>
              <w:widowControl/>
              <w:numPr>
                <w:ilvl w:val="0"/>
                <w:numId w:val="3"/>
              </w:numPr>
              <w:spacing w:line="360" w:lineRule="auto"/>
              <w:jc w:val="left"/>
              <w:rPr>
                <w:sz w:val="24"/>
              </w:rPr>
            </w:pPr>
            <w:r>
              <w:rPr>
                <w:rFonts w:hint="eastAsia"/>
                <w:sz w:val="24"/>
              </w:rPr>
              <w:t>《正当防卫、维稳优先与结果导向》，载《法律科学》2018年第3期，</w:t>
            </w:r>
            <w:r>
              <w:rPr>
                <w:sz w:val="24"/>
              </w:rPr>
              <w:t>2.7</w:t>
            </w:r>
            <w:r>
              <w:rPr>
                <w:rFonts w:hint="eastAsia"/>
                <w:sz w:val="24"/>
              </w:rPr>
              <w:t>万字。</w:t>
            </w:r>
          </w:p>
          <w:p>
            <w:pPr>
              <w:widowControl/>
              <w:numPr>
                <w:ilvl w:val="0"/>
                <w:numId w:val="3"/>
              </w:numPr>
              <w:spacing w:line="360" w:lineRule="auto"/>
              <w:jc w:val="left"/>
              <w:rPr>
                <w:sz w:val="24"/>
              </w:rPr>
            </w:pPr>
            <w:r>
              <w:rPr>
                <w:sz w:val="24"/>
              </w:rPr>
              <w:t>《正当防卫中公力救济优先原则的适用</w:t>
            </w:r>
            <w:r>
              <w:rPr>
                <w:rFonts w:hint="eastAsia"/>
                <w:sz w:val="24"/>
              </w:rPr>
              <w:t>——以暴力反抗强拆案和自力行使请求权案为例</w:t>
            </w:r>
            <w:r>
              <w:rPr>
                <w:sz w:val="24"/>
              </w:rPr>
              <w:t>》</w:t>
            </w:r>
            <w:r>
              <w:rPr>
                <w:rFonts w:hint="eastAsia"/>
                <w:sz w:val="24"/>
              </w:rPr>
              <w:t>，载《法学》2017年第4期，2万字。</w:t>
            </w:r>
          </w:p>
          <w:p>
            <w:pPr>
              <w:widowControl/>
              <w:numPr>
                <w:ilvl w:val="0"/>
                <w:numId w:val="3"/>
              </w:numPr>
              <w:spacing w:line="360" w:lineRule="auto"/>
              <w:jc w:val="left"/>
              <w:rPr>
                <w:sz w:val="24"/>
              </w:rPr>
            </w:pPr>
            <w:r>
              <w:rPr>
                <w:rFonts w:hint="eastAsia"/>
                <w:sz w:val="24"/>
              </w:rPr>
              <w:t>《正当防卫与比例原则——刑法条文合宪性解释的尝试》，载《环球法律评论》2016年第6期，2</w:t>
            </w:r>
            <w:r>
              <w:rPr>
                <w:sz w:val="24"/>
              </w:rPr>
              <w:t>.5</w:t>
            </w:r>
            <w:r>
              <w:rPr>
                <w:rFonts w:hint="eastAsia"/>
                <w:sz w:val="24"/>
              </w:rPr>
              <w:t>万字。</w:t>
            </w:r>
          </w:p>
          <w:p>
            <w:pPr>
              <w:widowControl/>
              <w:numPr>
                <w:ilvl w:val="0"/>
                <w:numId w:val="3"/>
              </w:numPr>
              <w:spacing w:line="360" w:lineRule="auto"/>
              <w:jc w:val="left"/>
              <w:rPr>
                <w:sz w:val="24"/>
              </w:rPr>
            </w:pPr>
            <w:r>
              <w:rPr>
                <w:rFonts w:hint="eastAsia"/>
                <w:sz w:val="24"/>
              </w:rPr>
              <w:t>《结果无价值论与二元论之争的共识、误区与发展方向》，载《中外法学》2016年第3期，3</w:t>
            </w:r>
            <w:r>
              <w:rPr>
                <w:sz w:val="24"/>
              </w:rPr>
              <w:t>.6</w:t>
            </w:r>
            <w:r>
              <w:rPr>
                <w:rFonts w:hint="eastAsia"/>
                <w:sz w:val="24"/>
              </w:rPr>
              <w:t>万字。</w:t>
            </w:r>
          </w:p>
          <w:p>
            <w:pPr>
              <w:widowControl/>
              <w:numPr>
                <w:ilvl w:val="0"/>
                <w:numId w:val="3"/>
              </w:numPr>
              <w:spacing w:line="360" w:lineRule="auto"/>
              <w:jc w:val="left"/>
              <w:rPr>
                <w:sz w:val="24"/>
              </w:rPr>
            </w:pPr>
            <w:r>
              <w:rPr>
                <w:rFonts w:hint="eastAsia"/>
                <w:sz w:val="24"/>
              </w:rPr>
              <w:t>《克服正当防卫判断中的“道德洁癖”》，载《清华法学》2016年第2期，</w:t>
            </w:r>
            <w:r>
              <w:rPr>
                <w:sz w:val="24"/>
              </w:rPr>
              <w:t>2.2</w:t>
            </w:r>
            <w:r>
              <w:rPr>
                <w:rFonts w:hint="eastAsia"/>
                <w:sz w:val="24"/>
              </w:rPr>
              <w:t>万字。</w:t>
            </w:r>
          </w:p>
          <w:p>
            <w:pPr>
              <w:widowControl/>
              <w:numPr>
                <w:ilvl w:val="0"/>
                <w:numId w:val="3"/>
              </w:numPr>
              <w:spacing w:line="360" w:lineRule="auto"/>
              <w:jc w:val="left"/>
              <w:rPr>
                <w:sz w:val="24"/>
              </w:rPr>
            </w:pPr>
            <w:r>
              <w:rPr>
                <w:rFonts w:hint="eastAsia"/>
                <w:sz w:val="24"/>
              </w:rPr>
              <w:t>《</w:t>
            </w:r>
            <w:r>
              <w:rPr>
                <w:sz w:val="24"/>
              </w:rPr>
              <w:t>家庭暴力反抗案件中防御性紧急避险的适用</w:t>
            </w:r>
            <w:r>
              <w:rPr>
                <w:rFonts w:hint="eastAsia"/>
                <w:sz w:val="24"/>
              </w:rPr>
              <w:t>》，载《政治与法律》2015年第9期，2万字。</w:t>
            </w:r>
          </w:p>
          <w:p>
            <w:pPr>
              <w:widowControl/>
              <w:numPr>
                <w:ilvl w:val="0"/>
                <w:numId w:val="3"/>
              </w:numPr>
              <w:spacing w:line="360" w:lineRule="auto"/>
              <w:jc w:val="left"/>
              <w:rPr>
                <w:sz w:val="24"/>
              </w:rPr>
            </w:pPr>
            <w:r>
              <w:rPr>
                <w:rFonts w:hint="eastAsia"/>
                <w:sz w:val="24"/>
              </w:rPr>
              <w:t>《论侵占罪处罚漏洞的填补》，载《法商研究》2015年第1期，1</w:t>
            </w:r>
            <w:r>
              <w:rPr>
                <w:sz w:val="24"/>
              </w:rPr>
              <w:t>.6</w:t>
            </w:r>
            <w:r>
              <w:rPr>
                <w:rFonts w:hint="eastAsia"/>
                <w:sz w:val="24"/>
              </w:rPr>
              <w:t>万字。</w:t>
            </w:r>
          </w:p>
          <w:p>
            <w:pPr>
              <w:widowControl/>
              <w:numPr>
                <w:ilvl w:val="0"/>
                <w:numId w:val="3"/>
              </w:numPr>
              <w:spacing w:line="360" w:lineRule="auto"/>
              <w:jc w:val="left"/>
              <w:rPr>
                <w:sz w:val="24"/>
              </w:rPr>
            </w:pPr>
            <w:r>
              <w:rPr>
                <w:rFonts w:hint="eastAsia"/>
                <w:sz w:val="24"/>
              </w:rPr>
              <w:t>《论主客观归责间的界限与因果流程的偏离》，载《法学家》2014年第4期，2万字。</w:t>
            </w:r>
          </w:p>
          <w:p>
            <w:pPr>
              <w:widowControl/>
              <w:numPr>
                <w:ilvl w:val="0"/>
                <w:numId w:val="3"/>
              </w:numPr>
              <w:spacing w:line="360" w:lineRule="auto"/>
              <w:jc w:val="left"/>
              <w:rPr>
                <w:sz w:val="24"/>
              </w:rPr>
            </w:pPr>
            <w:r>
              <w:rPr>
                <w:rFonts w:hint="eastAsia"/>
                <w:sz w:val="24"/>
              </w:rPr>
              <w:t>《论过失犯中注意义务的规范保护目的》，载《清华法学》2014年第1期，2</w:t>
            </w:r>
            <w:r>
              <w:rPr>
                <w:sz w:val="24"/>
              </w:rPr>
              <w:t>.2</w:t>
            </w:r>
            <w:r>
              <w:rPr>
                <w:rFonts w:hint="eastAsia"/>
                <w:sz w:val="24"/>
              </w:rPr>
              <w:t>万字。</w:t>
            </w:r>
          </w:p>
          <w:p>
            <w:pPr>
              <w:widowControl/>
              <w:numPr>
                <w:ilvl w:val="0"/>
                <w:numId w:val="3"/>
              </w:numPr>
              <w:spacing w:line="360" w:lineRule="auto"/>
              <w:jc w:val="left"/>
              <w:rPr>
                <w:sz w:val="24"/>
              </w:rPr>
            </w:pPr>
            <w:r>
              <w:rPr>
                <w:rFonts w:hint="eastAsia"/>
                <w:sz w:val="24"/>
              </w:rPr>
              <w:t>《论过失犯的注意义务违反与结果之间的规范关联》，载《中外法学》2012年第4期，2</w:t>
            </w:r>
            <w:r>
              <w:rPr>
                <w:sz w:val="24"/>
              </w:rPr>
              <w:t>.6</w:t>
            </w:r>
            <w:r>
              <w:rPr>
                <w:rFonts w:hint="eastAsia"/>
                <w:sz w:val="24"/>
              </w:rPr>
              <w:t>万字。</w:t>
            </w:r>
          </w:p>
          <w:p>
            <w:pPr>
              <w:widowControl/>
              <w:numPr>
                <w:ilvl w:val="0"/>
                <w:numId w:val="3"/>
              </w:numPr>
              <w:spacing w:line="360" w:lineRule="auto"/>
              <w:jc w:val="left"/>
              <w:rPr>
                <w:sz w:val="24"/>
              </w:rPr>
            </w:pPr>
            <w:r>
              <w:rPr>
                <w:rFonts w:hint="eastAsia"/>
                <w:sz w:val="24"/>
              </w:rPr>
              <w:t>《德国刑法学中结果无价值与行为无价值二元论及其启示》，载《法学评论》2011年第5期，1</w:t>
            </w:r>
            <w:r>
              <w:rPr>
                <w:sz w:val="24"/>
              </w:rPr>
              <w:t>.6</w:t>
            </w:r>
            <w:r>
              <w:rPr>
                <w:rFonts w:hint="eastAsia"/>
                <w:sz w:val="24"/>
              </w:rPr>
              <w:t>万字。</w:t>
            </w:r>
          </w:p>
          <w:p>
            <w:pPr>
              <w:widowControl/>
              <w:numPr>
                <w:ilvl w:val="0"/>
                <w:numId w:val="3"/>
              </w:numPr>
              <w:spacing w:line="360" w:lineRule="auto"/>
              <w:jc w:val="left"/>
              <w:rPr>
                <w:sz w:val="24"/>
              </w:rPr>
            </w:pPr>
            <w:r>
              <w:rPr>
                <w:rFonts w:hint="eastAsia"/>
                <w:sz w:val="24"/>
              </w:rPr>
              <w:t>《德国刑法学中结果无价值与行为无价值的流变、现状与趋势》，载《中外法学》2011年第2期，3万字。</w:t>
            </w:r>
          </w:p>
          <w:p>
            <w:pPr>
              <w:widowControl/>
              <w:numPr>
                <w:ilvl w:val="0"/>
                <w:numId w:val="3"/>
              </w:numPr>
              <w:spacing w:line="360" w:lineRule="auto"/>
              <w:jc w:val="left"/>
              <w:rPr>
                <w:sz w:val="24"/>
              </w:rPr>
            </w:pPr>
            <w:r>
              <w:rPr>
                <w:rFonts w:hint="eastAsia"/>
                <w:sz w:val="24"/>
              </w:rPr>
              <w:t>《论防卫过当与犯罪故意的兼容——兼从比较法的角度重构正当防卫的主观要件》，载《法学》2011年第1期，1</w:t>
            </w:r>
            <w:r>
              <w:rPr>
                <w:sz w:val="24"/>
              </w:rPr>
              <w:t>.5</w:t>
            </w:r>
            <w:r>
              <w:rPr>
                <w:rFonts w:hint="eastAsia"/>
                <w:sz w:val="24"/>
              </w:rPr>
              <w:t>万字。</w:t>
            </w:r>
          </w:p>
          <w:p>
            <w:pPr>
              <w:widowControl/>
              <w:numPr>
                <w:ilvl w:val="0"/>
                <w:numId w:val="3"/>
              </w:numPr>
              <w:spacing w:line="360" w:lineRule="auto"/>
              <w:jc w:val="left"/>
              <w:rPr>
                <w:sz w:val="24"/>
              </w:rPr>
            </w:pPr>
            <w:r>
              <w:rPr>
                <w:rFonts w:hint="eastAsia"/>
                <w:sz w:val="24"/>
              </w:rPr>
              <w:t>《社会相当性理论的源流、概念和基础》，载陈兴良主编：《刑事法评论》（第27卷），北京大学出版社2010年版，</w:t>
            </w:r>
            <w:r>
              <w:rPr>
                <w:sz w:val="24"/>
              </w:rPr>
              <w:t>3</w:t>
            </w:r>
            <w:r>
              <w:rPr>
                <w:rFonts w:hint="eastAsia"/>
                <w:sz w:val="24"/>
              </w:rPr>
              <w:t>万字。</w:t>
            </w:r>
          </w:p>
          <w:p>
            <w:pPr>
              <w:widowControl/>
              <w:numPr>
                <w:ilvl w:val="0"/>
                <w:numId w:val="3"/>
              </w:numPr>
              <w:spacing w:line="360" w:lineRule="auto"/>
              <w:jc w:val="left"/>
              <w:rPr>
                <w:sz w:val="24"/>
              </w:rPr>
            </w:pPr>
            <w:r>
              <w:rPr>
                <w:rFonts w:hint="eastAsia"/>
                <w:sz w:val="24"/>
              </w:rPr>
              <w:t>《正当防卫中风险分担原则之提倡》，载《法学评论》2009年第1期，1</w:t>
            </w:r>
            <w:r>
              <w:rPr>
                <w:sz w:val="24"/>
              </w:rPr>
              <w:t>.5</w:t>
            </w:r>
            <w:r>
              <w:rPr>
                <w:rFonts w:hint="eastAsia"/>
                <w:sz w:val="24"/>
              </w:rPr>
              <w:t>万字。</w:t>
            </w:r>
          </w:p>
          <w:p>
            <w:pPr>
              <w:widowControl/>
              <w:numPr>
                <w:ilvl w:val="0"/>
                <w:numId w:val="3"/>
              </w:numPr>
              <w:spacing w:line="360" w:lineRule="auto"/>
              <w:jc w:val="left"/>
              <w:rPr>
                <w:sz w:val="24"/>
              </w:rPr>
            </w:pPr>
            <w:r>
              <w:rPr>
                <w:rFonts w:hint="eastAsia"/>
                <w:sz w:val="24"/>
              </w:rPr>
              <w:t>《论正当防卫中民众观念与法律解释的融合》，载《中国刑事法杂志》2007年第4期，1</w:t>
            </w:r>
            <w:r>
              <w:rPr>
                <w:sz w:val="24"/>
              </w:rPr>
              <w:t>.5</w:t>
            </w:r>
            <w:r>
              <w:rPr>
                <w:rFonts w:hint="eastAsia"/>
                <w:sz w:val="24"/>
              </w:rPr>
              <w:t>万字。</w:t>
            </w:r>
          </w:p>
          <w:p>
            <w:pPr>
              <w:widowControl/>
              <w:numPr>
                <w:ilvl w:val="0"/>
                <w:numId w:val="3"/>
              </w:numPr>
              <w:spacing w:line="360" w:lineRule="auto"/>
              <w:jc w:val="left"/>
              <w:rPr>
                <w:sz w:val="24"/>
              </w:rPr>
            </w:pPr>
            <w:r>
              <w:rPr>
                <w:rFonts w:hint="eastAsia"/>
                <w:sz w:val="24"/>
              </w:rPr>
              <w:t>《修正的犯罪构成理论之否定》，载《法商研究》2007年第4期，1</w:t>
            </w:r>
            <w:r>
              <w:rPr>
                <w:sz w:val="24"/>
              </w:rPr>
              <w:t>.2</w:t>
            </w:r>
            <w:r>
              <w:rPr>
                <w:rFonts w:hint="eastAsia"/>
                <w:sz w:val="24"/>
              </w:rPr>
              <w:t>万字。</w:t>
            </w:r>
          </w:p>
          <w:p>
            <w:pPr>
              <w:widowControl/>
              <w:numPr>
                <w:ilvl w:val="0"/>
                <w:numId w:val="3"/>
              </w:numPr>
              <w:spacing w:line="360" w:lineRule="auto"/>
              <w:jc w:val="left"/>
              <w:rPr>
                <w:sz w:val="24"/>
              </w:rPr>
            </w:pPr>
            <w:r>
              <w:rPr>
                <w:rFonts w:hint="eastAsia"/>
                <w:sz w:val="24"/>
              </w:rPr>
              <w:t>《对紧急避险正当化根据的再思考》，载赵秉志主编：《刑法论丛》（第12卷），法律出版社2007年版，</w:t>
            </w:r>
            <w:r>
              <w:rPr>
                <w:sz w:val="24"/>
              </w:rPr>
              <w:t>3</w:t>
            </w:r>
            <w:r>
              <w:rPr>
                <w:rFonts w:hint="eastAsia"/>
                <w:sz w:val="24"/>
              </w:rPr>
              <w:t>万字。</w:t>
            </w:r>
          </w:p>
          <w:p>
            <w:pPr>
              <w:widowControl/>
              <w:numPr>
                <w:ilvl w:val="0"/>
                <w:numId w:val="3"/>
              </w:numPr>
              <w:spacing w:line="360" w:lineRule="auto"/>
              <w:jc w:val="left"/>
            </w:pPr>
            <w:r>
              <w:rPr>
                <w:rFonts w:hint="eastAsia"/>
                <w:sz w:val="24"/>
              </w:rPr>
              <w:t>《紧急避险：对无责任能力人的侵害予以反击之行为的重新界定》，载《武汉大学学报》（哲学社会科学版）2007年第2期，1万字。</w:t>
            </w:r>
          </w:p>
          <w:p>
            <w:pPr>
              <w:tabs>
                <w:tab w:val="left" w:pos="4185"/>
              </w:tabs>
              <w:snapToGrid w:val="0"/>
              <w:rPr>
                <w:rFonts w:ascii="楷体_GB2312" w:hAnsi="楷体"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3" w:hRule="atLeast"/>
        </w:trPr>
        <w:tc>
          <w:tcPr>
            <w:tcW w:w="9000" w:type="dxa"/>
            <w:gridSpan w:val="5"/>
            <w:tcBorders>
              <w:top w:val="single" w:color="auto" w:sz="4" w:space="0"/>
              <w:bottom w:val="single" w:color="000000" w:sz="4" w:space="0"/>
            </w:tcBorders>
          </w:tcPr>
          <w:p>
            <w:pPr>
              <w:tabs>
                <w:tab w:val="left" w:pos="4185"/>
              </w:tabs>
              <w:snapToGrid w:val="0"/>
              <w:spacing w:before="156" w:beforeLines="50"/>
              <w:jc w:val="center"/>
              <w:rPr>
                <w:rFonts w:cs="Arial"/>
                <w:b/>
                <w:kern w:val="0"/>
                <w:sz w:val="30"/>
                <w:szCs w:val="30"/>
              </w:rPr>
            </w:pPr>
            <w:r>
              <w:rPr>
                <w:rFonts w:cs="Arial"/>
                <w:b/>
                <w:kern w:val="0"/>
                <w:sz w:val="30"/>
                <w:szCs w:val="30"/>
              </w:rPr>
              <w:t>获得奖项</w:t>
            </w:r>
            <w:r>
              <w:rPr>
                <w:rFonts w:hint="eastAsia" w:cs="Arial"/>
                <w:b/>
                <w:kern w:val="0"/>
                <w:sz w:val="30"/>
                <w:szCs w:val="30"/>
              </w:rPr>
              <w:t>和表彰</w:t>
            </w:r>
          </w:p>
          <w:p>
            <w:pPr>
              <w:tabs>
                <w:tab w:val="left" w:pos="4185"/>
              </w:tabs>
              <w:snapToGrid w:val="0"/>
              <w:jc w:val="center"/>
              <w:rPr>
                <w:rFonts w:ascii="楷体" w:hAnsi="楷体" w:eastAsia="楷体" w:cs="Arial"/>
                <w:b/>
                <w:kern w:val="0"/>
                <w:sz w:val="24"/>
              </w:rPr>
            </w:pPr>
            <w:r>
              <w:rPr>
                <w:rFonts w:hint="eastAsia" w:ascii="楷体" w:hAnsi="楷体" w:eastAsia="楷体" w:cs="Arial"/>
                <w:b/>
                <w:kern w:val="0"/>
                <w:sz w:val="24"/>
              </w:rPr>
              <w:t>（请注明获得时间及等级）</w:t>
            </w:r>
          </w:p>
          <w:p>
            <w:pPr>
              <w:tabs>
                <w:tab w:val="left" w:pos="4185"/>
              </w:tabs>
              <w:snapToGrid w:val="0"/>
              <w:jc w:val="center"/>
              <w:rPr>
                <w:rFonts w:ascii="楷体" w:hAnsi="楷体" w:eastAsia="楷体" w:cs="Arial"/>
                <w:b/>
                <w:kern w:val="0"/>
                <w:sz w:val="24"/>
              </w:rPr>
            </w:pPr>
          </w:p>
          <w:p>
            <w:pPr>
              <w:widowControl/>
              <w:numPr>
                <w:ilvl w:val="0"/>
                <w:numId w:val="4"/>
              </w:numPr>
              <w:spacing w:line="360" w:lineRule="auto"/>
              <w:jc w:val="left"/>
              <w:rPr>
                <w:sz w:val="24"/>
              </w:rPr>
            </w:pPr>
            <w:r>
              <w:rPr>
                <w:rFonts w:hint="eastAsia"/>
                <w:sz w:val="24"/>
              </w:rPr>
              <w:t>霍英东教育基金会第1</w:t>
            </w:r>
            <w:r>
              <w:rPr>
                <w:sz w:val="24"/>
              </w:rPr>
              <w:t>8</w:t>
            </w:r>
            <w:r>
              <w:rPr>
                <w:rFonts w:hint="eastAsia"/>
                <w:sz w:val="24"/>
              </w:rPr>
              <w:t>届高等院校青年科学奖二等奖，2</w:t>
            </w:r>
            <w:r>
              <w:rPr>
                <w:sz w:val="24"/>
              </w:rPr>
              <w:t>022</w:t>
            </w:r>
            <w:r>
              <w:rPr>
                <w:rFonts w:hint="eastAsia"/>
                <w:sz w:val="24"/>
              </w:rPr>
              <w:t>年7月，省部级。</w:t>
            </w:r>
          </w:p>
          <w:p>
            <w:pPr>
              <w:widowControl/>
              <w:numPr>
                <w:ilvl w:val="0"/>
                <w:numId w:val="4"/>
              </w:numPr>
              <w:spacing w:line="360" w:lineRule="auto"/>
              <w:jc w:val="left"/>
              <w:rPr>
                <w:sz w:val="24"/>
              </w:rPr>
            </w:pPr>
            <w:r>
              <w:rPr>
                <w:rFonts w:hint="eastAsia"/>
                <w:sz w:val="24"/>
              </w:rPr>
              <w:t>中宣部国家“万人计划”青年拔尖人才，2</w:t>
            </w:r>
            <w:r>
              <w:rPr>
                <w:sz w:val="24"/>
              </w:rPr>
              <w:t>020</w:t>
            </w:r>
            <w:r>
              <w:rPr>
                <w:rFonts w:hint="eastAsia"/>
                <w:sz w:val="24"/>
              </w:rPr>
              <w:t>年1</w:t>
            </w:r>
            <w:r>
              <w:rPr>
                <w:sz w:val="24"/>
              </w:rPr>
              <w:t>1</w:t>
            </w:r>
            <w:r>
              <w:rPr>
                <w:rFonts w:hint="eastAsia"/>
                <w:sz w:val="24"/>
              </w:rPr>
              <w:t>月，国家级。</w:t>
            </w:r>
          </w:p>
          <w:p>
            <w:pPr>
              <w:widowControl/>
              <w:numPr>
                <w:ilvl w:val="0"/>
                <w:numId w:val="4"/>
              </w:numPr>
              <w:spacing w:line="360" w:lineRule="auto"/>
              <w:jc w:val="left"/>
              <w:rPr>
                <w:sz w:val="24"/>
              </w:rPr>
            </w:pPr>
            <w:r>
              <w:rPr>
                <w:rFonts w:hint="eastAsia"/>
                <w:sz w:val="24"/>
              </w:rPr>
              <w:t>中国法学会颁发的第五届“董必武青年法学成果奖”二等奖，2</w:t>
            </w:r>
            <w:r>
              <w:rPr>
                <w:sz w:val="24"/>
              </w:rPr>
              <w:t>017</w:t>
            </w:r>
            <w:r>
              <w:rPr>
                <w:rFonts w:hint="eastAsia"/>
                <w:sz w:val="24"/>
              </w:rPr>
              <w:t>年8月，省部级。</w:t>
            </w:r>
          </w:p>
          <w:p>
            <w:pPr>
              <w:widowControl/>
              <w:numPr>
                <w:ilvl w:val="0"/>
                <w:numId w:val="4"/>
              </w:numPr>
              <w:spacing w:line="360" w:lineRule="auto"/>
              <w:jc w:val="left"/>
              <w:rPr>
                <w:sz w:val="24"/>
              </w:rPr>
            </w:pPr>
            <w:r>
              <w:rPr>
                <w:rFonts w:hint="eastAsia"/>
                <w:sz w:val="24"/>
              </w:rPr>
              <w:t>中国法学会颁发的第八届“董必武青年法学成果奖”二等奖，2</w:t>
            </w:r>
            <w:r>
              <w:rPr>
                <w:sz w:val="24"/>
              </w:rPr>
              <w:t>020</w:t>
            </w:r>
            <w:r>
              <w:rPr>
                <w:rFonts w:hint="eastAsia"/>
                <w:sz w:val="24"/>
              </w:rPr>
              <w:t>年1</w:t>
            </w:r>
            <w:r>
              <w:rPr>
                <w:sz w:val="24"/>
              </w:rPr>
              <w:t>2</w:t>
            </w:r>
            <w:r>
              <w:rPr>
                <w:rFonts w:hint="eastAsia"/>
                <w:sz w:val="24"/>
              </w:rPr>
              <w:t>月，省部级。</w:t>
            </w:r>
          </w:p>
          <w:p>
            <w:pPr>
              <w:widowControl/>
              <w:numPr>
                <w:ilvl w:val="0"/>
                <w:numId w:val="4"/>
              </w:numPr>
              <w:spacing w:line="360" w:lineRule="auto"/>
              <w:jc w:val="left"/>
              <w:rPr>
                <w:sz w:val="24"/>
              </w:rPr>
            </w:pPr>
            <w:r>
              <w:rPr>
                <w:rFonts w:hint="eastAsia"/>
                <w:sz w:val="24"/>
              </w:rPr>
              <w:t>中国法学会颁发的第七届“董必武青年法学成果奖”三等奖，2</w:t>
            </w:r>
            <w:r>
              <w:rPr>
                <w:sz w:val="24"/>
              </w:rPr>
              <w:t>020</w:t>
            </w:r>
            <w:r>
              <w:rPr>
                <w:rFonts w:hint="eastAsia"/>
                <w:sz w:val="24"/>
              </w:rPr>
              <w:t>年3月，省部级。</w:t>
            </w:r>
          </w:p>
          <w:p>
            <w:pPr>
              <w:widowControl/>
              <w:numPr>
                <w:ilvl w:val="0"/>
                <w:numId w:val="4"/>
              </w:numPr>
              <w:spacing w:line="360" w:lineRule="auto"/>
              <w:jc w:val="left"/>
              <w:rPr>
                <w:sz w:val="24"/>
              </w:rPr>
            </w:pPr>
            <w:r>
              <w:rPr>
                <w:rFonts w:hint="eastAsia"/>
                <w:sz w:val="24"/>
              </w:rPr>
              <w:t>中国法学会颁发的第九届“董必武青年法学成果奖”三等奖，2</w:t>
            </w:r>
            <w:r>
              <w:rPr>
                <w:sz w:val="24"/>
              </w:rPr>
              <w:t>022年1</w:t>
            </w:r>
            <w:r>
              <w:rPr>
                <w:rFonts w:hint="eastAsia"/>
                <w:sz w:val="24"/>
              </w:rPr>
              <w:t>月，省部级。</w:t>
            </w:r>
          </w:p>
          <w:p>
            <w:pPr>
              <w:pStyle w:val="9"/>
              <w:numPr>
                <w:ilvl w:val="0"/>
                <w:numId w:val="4"/>
              </w:numPr>
              <w:spacing w:line="360" w:lineRule="auto"/>
              <w:ind w:firstLineChars="0"/>
              <w:rPr>
                <w:sz w:val="24"/>
              </w:rPr>
            </w:pPr>
            <w:r>
              <w:rPr>
                <w:rFonts w:hint="eastAsia"/>
                <w:sz w:val="24"/>
              </w:rPr>
              <w:t>中国刑法学研究会颁发的“全国刑法学优秀学术著作奖（1984-2014）”专著类一等奖，2014年9月。</w:t>
            </w:r>
          </w:p>
          <w:p>
            <w:pPr>
              <w:widowControl/>
              <w:numPr>
                <w:ilvl w:val="0"/>
                <w:numId w:val="4"/>
              </w:numPr>
              <w:spacing w:line="360" w:lineRule="auto"/>
              <w:jc w:val="left"/>
              <w:rPr>
                <w:sz w:val="24"/>
              </w:rPr>
            </w:pPr>
            <w:r>
              <w:rPr>
                <w:rFonts w:hint="eastAsia"/>
                <w:sz w:val="24"/>
              </w:rPr>
              <w:t>中国刑法学研究会颁发的“全国刑法学优秀学术著作奖（</w:t>
            </w:r>
            <w:r>
              <w:rPr>
                <w:sz w:val="24"/>
              </w:rPr>
              <w:t>2014</w:t>
            </w:r>
            <w:r>
              <w:rPr>
                <w:rFonts w:hint="eastAsia"/>
                <w:sz w:val="24"/>
              </w:rPr>
              <w:t>-20</w:t>
            </w:r>
            <w:r>
              <w:rPr>
                <w:sz w:val="24"/>
              </w:rPr>
              <w:t>20</w:t>
            </w:r>
            <w:r>
              <w:rPr>
                <w:rFonts w:hint="eastAsia"/>
                <w:sz w:val="24"/>
              </w:rPr>
              <w:t>）”专著类一等奖，20</w:t>
            </w:r>
            <w:r>
              <w:rPr>
                <w:sz w:val="24"/>
              </w:rPr>
              <w:t>21</w:t>
            </w:r>
            <w:r>
              <w:rPr>
                <w:rFonts w:hint="eastAsia"/>
                <w:sz w:val="24"/>
              </w:rPr>
              <w:t>年1</w:t>
            </w:r>
            <w:r>
              <w:rPr>
                <w:sz w:val="24"/>
              </w:rPr>
              <w:t>0</w:t>
            </w:r>
            <w:r>
              <w:rPr>
                <w:rFonts w:hint="eastAsia"/>
                <w:sz w:val="24"/>
              </w:rPr>
              <w:t>月。</w:t>
            </w:r>
          </w:p>
          <w:p>
            <w:pPr>
              <w:widowControl/>
              <w:numPr>
                <w:ilvl w:val="0"/>
                <w:numId w:val="4"/>
              </w:numPr>
              <w:spacing w:line="360" w:lineRule="auto"/>
              <w:jc w:val="left"/>
              <w:rPr>
                <w:sz w:val="24"/>
              </w:rPr>
            </w:pPr>
            <w:r>
              <w:rPr>
                <w:rFonts w:hint="eastAsia"/>
                <w:sz w:val="24"/>
              </w:rPr>
              <w:t>国家社科基金项目“优秀”结项证书，2</w:t>
            </w:r>
            <w:r>
              <w:rPr>
                <w:sz w:val="24"/>
              </w:rPr>
              <w:t>021</w:t>
            </w:r>
            <w:r>
              <w:rPr>
                <w:rFonts w:hint="eastAsia"/>
                <w:sz w:val="24"/>
              </w:rPr>
              <w:t>年3月2</w:t>
            </w:r>
            <w:r>
              <w:rPr>
                <w:sz w:val="24"/>
              </w:rPr>
              <w:t>5</w:t>
            </w:r>
            <w:r>
              <w:rPr>
                <w:rFonts w:hint="eastAsia"/>
                <w:sz w:val="24"/>
              </w:rPr>
              <w:t>日。</w:t>
            </w:r>
          </w:p>
          <w:p>
            <w:pPr>
              <w:widowControl/>
              <w:numPr>
                <w:ilvl w:val="0"/>
                <w:numId w:val="4"/>
              </w:numPr>
              <w:spacing w:line="360" w:lineRule="auto"/>
              <w:jc w:val="left"/>
              <w:rPr>
                <w:sz w:val="24"/>
              </w:rPr>
            </w:pPr>
            <w:r>
              <w:rPr>
                <w:sz w:val="24"/>
              </w:rPr>
              <w:t>法律出版社第二届“金獬豸奖”，2021年9月。</w:t>
            </w:r>
          </w:p>
          <w:p>
            <w:pPr>
              <w:widowControl/>
              <w:numPr>
                <w:ilvl w:val="0"/>
                <w:numId w:val="4"/>
              </w:numPr>
              <w:spacing w:line="360" w:lineRule="auto"/>
              <w:jc w:val="left"/>
              <w:rPr>
                <w:sz w:val="24"/>
              </w:rPr>
            </w:pPr>
            <w:r>
              <w:rPr>
                <w:rFonts w:hint="eastAsia"/>
                <w:sz w:val="24"/>
              </w:rPr>
              <w:t>湖北省学位委员会、湖北省教育厅颁发的“湖北省优秀博士论文”证书，2011年12月30日，省部级。</w:t>
            </w:r>
          </w:p>
          <w:p>
            <w:pPr>
              <w:widowControl/>
              <w:numPr>
                <w:ilvl w:val="0"/>
                <w:numId w:val="4"/>
              </w:numPr>
              <w:spacing w:line="360" w:lineRule="auto"/>
              <w:jc w:val="left"/>
              <w:rPr>
                <w:sz w:val="24"/>
              </w:rPr>
            </w:pPr>
            <w:r>
              <w:rPr>
                <w:rFonts w:hint="eastAsia"/>
                <w:sz w:val="24"/>
              </w:rPr>
              <w:t>王作富刑法学发展基金颁发的第二届“王作富刑法学优秀博士学位论文奖”，2011年12月17日。</w:t>
            </w:r>
          </w:p>
          <w:p>
            <w:pPr>
              <w:widowControl/>
              <w:numPr>
                <w:ilvl w:val="0"/>
                <w:numId w:val="4"/>
              </w:numPr>
              <w:spacing w:line="360" w:lineRule="auto"/>
              <w:jc w:val="left"/>
              <w:rPr>
                <w:sz w:val="24"/>
              </w:rPr>
            </w:pPr>
            <w:r>
              <w:rPr>
                <w:rFonts w:hint="eastAsia"/>
                <w:sz w:val="24"/>
              </w:rPr>
              <w:t>中国人民大学杰出学者支持计划青年学者A岗，2</w:t>
            </w:r>
            <w:r>
              <w:rPr>
                <w:sz w:val="24"/>
              </w:rPr>
              <w:t>020</w:t>
            </w:r>
            <w:r>
              <w:rPr>
                <w:rFonts w:hint="eastAsia"/>
                <w:sz w:val="24"/>
              </w:rPr>
              <w:t>年1</w:t>
            </w:r>
            <w:r>
              <w:rPr>
                <w:sz w:val="24"/>
              </w:rPr>
              <w:t>2</w:t>
            </w:r>
            <w:r>
              <w:rPr>
                <w:rFonts w:hint="eastAsia"/>
                <w:sz w:val="24"/>
              </w:rPr>
              <w:t>月2</w:t>
            </w:r>
            <w:r>
              <w:rPr>
                <w:sz w:val="24"/>
              </w:rPr>
              <w:t>2</w:t>
            </w:r>
            <w:r>
              <w:rPr>
                <w:rFonts w:hint="eastAsia"/>
                <w:sz w:val="24"/>
              </w:rPr>
              <w:t>日。</w:t>
            </w:r>
          </w:p>
          <w:p>
            <w:pPr>
              <w:pStyle w:val="9"/>
              <w:numPr>
                <w:ilvl w:val="0"/>
                <w:numId w:val="4"/>
              </w:numPr>
              <w:ind w:firstLineChars="0"/>
              <w:rPr>
                <w:sz w:val="24"/>
              </w:rPr>
            </w:pPr>
            <w:r>
              <w:rPr>
                <w:rFonts w:hint="eastAsia"/>
                <w:sz w:val="24"/>
              </w:rPr>
              <w:t>中国人民大学教学标兵，2016年6月2日。</w:t>
            </w:r>
          </w:p>
          <w:p>
            <w:pPr>
              <w:widowControl/>
              <w:numPr>
                <w:ilvl w:val="0"/>
                <w:numId w:val="4"/>
              </w:numPr>
              <w:spacing w:line="360" w:lineRule="auto"/>
              <w:jc w:val="left"/>
              <w:rPr>
                <w:sz w:val="24"/>
              </w:rPr>
            </w:pPr>
            <w:r>
              <w:rPr>
                <w:rFonts w:hint="eastAsia"/>
                <w:sz w:val="24"/>
              </w:rPr>
              <w:t>中国人民大学本科毕业论文（设计）优秀指导教师，2018年6月2</w:t>
            </w:r>
            <w:r>
              <w:rPr>
                <w:sz w:val="24"/>
              </w:rPr>
              <w:t>8</w:t>
            </w:r>
            <w:r>
              <w:rPr>
                <w:rFonts w:hint="eastAsia"/>
                <w:sz w:val="24"/>
              </w:rPr>
              <w:t>日。</w:t>
            </w:r>
          </w:p>
          <w:p>
            <w:pPr>
              <w:widowControl/>
              <w:numPr>
                <w:ilvl w:val="0"/>
                <w:numId w:val="4"/>
              </w:numPr>
              <w:spacing w:line="360" w:lineRule="auto"/>
              <w:jc w:val="left"/>
              <w:rPr>
                <w:sz w:val="24"/>
              </w:rPr>
            </w:pPr>
            <w:r>
              <w:rPr>
                <w:rFonts w:hint="eastAsia"/>
                <w:sz w:val="24"/>
              </w:rPr>
              <w:t>中国人民大学先进工作者，2016年5月。</w:t>
            </w:r>
          </w:p>
          <w:p>
            <w:pPr>
              <w:widowControl/>
              <w:numPr>
                <w:ilvl w:val="0"/>
                <w:numId w:val="4"/>
              </w:numPr>
              <w:spacing w:line="360" w:lineRule="auto"/>
              <w:jc w:val="left"/>
              <w:rPr>
                <w:sz w:val="24"/>
              </w:rPr>
            </w:pPr>
            <w:r>
              <w:rPr>
                <w:rFonts w:hint="eastAsia"/>
                <w:sz w:val="24"/>
              </w:rPr>
              <w:t>中国人民大学优秀党务工作者，2</w:t>
            </w:r>
            <w:r>
              <w:rPr>
                <w:sz w:val="24"/>
              </w:rPr>
              <w:t>021</w:t>
            </w:r>
            <w:r>
              <w:rPr>
                <w:rFonts w:hint="eastAsia"/>
                <w:sz w:val="24"/>
              </w:rPr>
              <w:t>年6月。</w:t>
            </w:r>
          </w:p>
        </w:tc>
      </w:tr>
    </w:tbl>
    <w:p>
      <w:pPr>
        <w:spacing w:line="20" w:lineRule="exact"/>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B24C2"/>
    <w:multiLevelType w:val="singleLevel"/>
    <w:tmpl w:val="CF7B24C2"/>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927"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36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36435913"/>
    <w:multiLevelType w:val="multilevel"/>
    <w:tmpl w:val="36435913"/>
    <w:lvl w:ilvl="0" w:tentative="0">
      <w:start w:val="1"/>
      <w:numFmt w:val="decimal"/>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1068"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92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39566A62"/>
    <w:multiLevelType w:val="multilevel"/>
    <w:tmpl w:val="39566A62"/>
    <w:lvl w:ilvl="0" w:tentative="0">
      <w:start w:val="1"/>
      <w:numFmt w:val="decimal"/>
      <w:lvlText w:val="%1."/>
      <w:lvlJc w:val="left"/>
      <w:pPr>
        <w:ind w:left="785"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WNjNDYyYTNmOTgxMGY2OWQ2MmJlMDMyM2M5ZmIifQ=="/>
  </w:docVars>
  <w:rsids>
    <w:rsidRoot w:val="AFFF087D"/>
    <w:rsid w:val="0001299B"/>
    <w:rsid w:val="00034898"/>
    <w:rsid w:val="0003726E"/>
    <w:rsid w:val="00046A03"/>
    <w:rsid w:val="00062933"/>
    <w:rsid w:val="000953CC"/>
    <w:rsid w:val="000A3715"/>
    <w:rsid w:val="000B3697"/>
    <w:rsid w:val="000F418A"/>
    <w:rsid w:val="00115BFF"/>
    <w:rsid w:val="0019410A"/>
    <w:rsid w:val="001C1A1E"/>
    <w:rsid w:val="001C3202"/>
    <w:rsid w:val="001D52FA"/>
    <w:rsid w:val="00222C0D"/>
    <w:rsid w:val="00276561"/>
    <w:rsid w:val="002924CF"/>
    <w:rsid w:val="002B19FA"/>
    <w:rsid w:val="002D4613"/>
    <w:rsid w:val="00326643"/>
    <w:rsid w:val="00334519"/>
    <w:rsid w:val="00362DE6"/>
    <w:rsid w:val="00387D71"/>
    <w:rsid w:val="003B6E8E"/>
    <w:rsid w:val="003D31B1"/>
    <w:rsid w:val="003D3790"/>
    <w:rsid w:val="003E033B"/>
    <w:rsid w:val="00446DFB"/>
    <w:rsid w:val="00450A30"/>
    <w:rsid w:val="00472B3A"/>
    <w:rsid w:val="0047385F"/>
    <w:rsid w:val="004A45C2"/>
    <w:rsid w:val="004D6DBF"/>
    <w:rsid w:val="004F0C70"/>
    <w:rsid w:val="0052358C"/>
    <w:rsid w:val="00523B4D"/>
    <w:rsid w:val="00533FB6"/>
    <w:rsid w:val="00537073"/>
    <w:rsid w:val="00541708"/>
    <w:rsid w:val="00542E51"/>
    <w:rsid w:val="005B5732"/>
    <w:rsid w:val="005C1564"/>
    <w:rsid w:val="005C2D98"/>
    <w:rsid w:val="005D4E1A"/>
    <w:rsid w:val="0062529D"/>
    <w:rsid w:val="00682B63"/>
    <w:rsid w:val="00685B11"/>
    <w:rsid w:val="006A4303"/>
    <w:rsid w:val="006B0E30"/>
    <w:rsid w:val="006B0EE8"/>
    <w:rsid w:val="006C05EC"/>
    <w:rsid w:val="006E2BF3"/>
    <w:rsid w:val="006F1E60"/>
    <w:rsid w:val="006F31D6"/>
    <w:rsid w:val="006F4AD3"/>
    <w:rsid w:val="007200E2"/>
    <w:rsid w:val="0073010B"/>
    <w:rsid w:val="00737DD2"/>
    <w:rsid w:val="00746D98"/>
    <w:rsid w:val="00773984"/>
    <w:rsid w:val="0078027F"/>
    <w:rsid w:val="007827A8"/>
    <w:rsid w:val="00783492"/>
    <w:rsid w:val="00784AE9"/>
    <w:rsid w:val="0079264B"/>
    <w:rsid w:val="007B6DAE"/>
    <w:rsid w:val="007C706A"/>
    <w:rsid w:val="007F1581"/>
    <w:rsid w:val="00806308"/>
    <w:rsid w:val="00816C57"/>
    <w:rsid w:val="00820548"/>
    <w:rsid w:val="008302A6"/>
    <w:rsid w:val="00866877"/>
    <w:rsid w:val="008A4A4F"/>
    <w:rsid w:val="008C62DF"/>
    <w:rsid w:val="008F76C7"/>
    <w:rsid w:val="00950D0E"/>
    <w:rsid w:val="00952A3B"/>
    <w:rsid w:val="00964FAD"/>
    <w:rsid w:val="00976909"/>
    <w:rsid w:val="009B05AF"/>
    <w:rsid w:val="009B5605"/>
    <w:rsid w:val="009B57B4"/>
    <w:rsid w:val="009C34C8"/>
    <w:rsid w:val="009D3222"/>
    <w:rsid w:val="009E45E5"/>
    <w:rsid w:val="009F7686"/>
    <w:rsid w:val="00A13B32"/>
    <w:rsid w:val="00A13E96"/>
    <w:rsid w:val="00A2128A"/>
    <w:rsid w:val="00A41DBE"/>
    <w:rsid w:val="00A433A0"/>
    <w:rsid w:val="00A46FFF"/>
    <w:rsid w:val="00A51E08"/>
    <w:rsid w:val="00A91A83"/>
    <w:rsid w:val="00AC4A93"/>
    <w:rsid w:val="00AD7853"/>
    <w:rsid w:val="00AF43F2"/>
    <w:rsid w:val="00B0619B"/>
    <w:rsid w:val="00B106A3"/>
    <w:rsid w:val="00B206ED"/>
    <w:rsid w:val="00B775CC"/>
    <w:rsid w:val="00B82DEA"/>
    <w:rsid w:val="00B86154"/>
    <w:rsid w:val="00B9112A"/>
    <w:rsid w:val="00BA4AD7"/>
    <w:rsid w:val="00BB04E7"/>
    <w:rsid w:val="00C05328"/>
    <w:rsid w:val="00C6229B"/>
    <w:rsid w:val="00C64379"/>
    <w:rsid w:val="00C9476B"/>
    <w:rsid w:val="00C96008"/>
    <w:rsid w:val="00CB3737"/>
    <w:rsid w:val="00CF3376"/>
    <w:rsid w:val="00D207DB"/>
    <w:rsid w:val="00D27D45"/>
    <w:rsid w:val="00D66A3B"/>
    <w:rsid w:val="00D80231"/>
    <w:rsid w:val="00D92F04"/>
    <w:rsid w:val="00DA0C76"/>
    <w:rsid w:val="00DD2829"/>
    <w:rsid w:val="00DE5496"/>
    <w:rsid w:val="00DE5B0D"/>
    <w:rsid w:val="00E02E16"/>
    <w:rsid w:val="00E05525"/>
    <w:rsid w:val="00E15ED6"/>
    <w:rsid w:val="00E41ED9"/>
    <w:rsid w:val="00E54444"/>
    <w:rsid w:val="00E7389E"/>
    <w:rsid w:val="00ED68E9"/>
    <w:rsid w:val="00F36FCB"/>
    <w:rsid w:val="00F719A4"/>
    <w:rsid w:val="00F903D1"/>
    <w:rsid w:val="00FA31A2"/>
    <w:rsid w:val="00FB06D9"/>
    <w:rsid w:val="00FC7CE6"/>
    <w:rsid w:val="00FF4027"/>
    <w:rsid w:val="1DC53833"/>
    <w:rsid w:val="1EBD9178"/>
    <w:rsid w:val="2CEFB339"/>
    <w:rsid w:val="2EFBBC48"/>
    <w:rsid w:val="3B9D0C2F"/>
    <w:rsid w:val="3BBF1B45"/>
    <w:rsid w:val="3DFF8C80"/>
    <w:rsid w:val="3FAC72FC"/>
    <w:rsid w:val="3FDF6C0E"/>
    <w:rsid w:val="3FE95ABC"/>
    <w:rsid w:val="56EEFD7E"/>
    <w:rsid w:val="57B74E1B"/>
    <w:rsid w:val="591FD8F5"/>
    <w:rsid w:val="5AAC40BB"/>
    <w:rsid w:val="5DD32290"/>
    <w:rsid w:val="5DF46E1D"/>
    <w:rsid w:val="5DFEE7D4"/>
    <w:rsid w:val="5F3743E3"/>
    <w:rsid w:val="5FBC2178"/>
    <w:rsid w:val="5FFD9934"/>
    <w:rsid w:val="6F5F290C"/>
    <w:rsid w:val="6F9B4CF3"/>
    <w:rsid w:val="6FAF0381"/>
    <w:rsid w:val="6FFF2EC6"/>
    <w:rsid w:val="7A8FFAC6"/>
    <w:rsid w:val="7AFB59A5"/>
    <w:rsid w:val="7BDFCBFF"/>
    <w:rsid w:val="7CFECE28"/>
    <w:rsid w:val="7DB18C74"/>
    <w:rsid w:val="7DBAEB37"/>
    <w:rsid w:val="7DBF1A34"/>
    <w:rsid w:val="7DEB2C32"/>
    <w:rsid w:val="7DFF523D"/>
    <w:rsid w:val="7E5F3199"/>
    <w:rsid w:val="7EF35ADA"/>
    <w:rsid w:val="7F7B04A8"/>
    <w:rsid w:val="7F7EF37E"/>
    <w:rsid w:val="7FA5EC14"/>
    <w:rsid w:val="7FD7D6B2"/>
    <w:rsid w:val="7FF37BAA"/>
    <w:rsid w:val="9DBC5BFE"/>
    <w:rsid w:val="9FEBDE22"/>
    <w:rsid w:val="A7EB79A2"/>
    <w:rsid w:val="ABC2528A"/>
    <w:rsid w:val="ABFD3B40"/>
    <w:rsid w:val="AE8F304D"/>
    <w:rsid w:val="AFFF087D"/>
    <w:rsid w:val="B7D56515"/>
    <w:rsid w:val="B9EF54B5"/>
    <w:rsid w:val="BE3FDE16"/>
    <w:rsid w:val="BEFF65E4"/>
    <w:rsid w:val="D3F6398F"/>
    <w:rsid w:val="D7371D03"/>
    <w:rsid w:val="D7FE4373"/>
    <w:rsid w:val="DE7F24A6"/>
    <w:rsid w:val="ED661AE8"/>
    <w:rsid w:val="EDFF9236"/>
    <w:rsid w:val="EEFDCF1B"/>
    <w:rsid w:val="EF358C7A"/>
    <w:rsid w:val="EFBFEC5E"/>
    <w:rsid w:val="F2715785"/>
    <w:rsid w:val="F3D759E3"/>
    <w:rsid w:val="F7AF7DD2"/>
    <w:rsid w:val="FAFBA160"/>
    <w:rsid w:val="FBDBA10B"/>
    <w:rsid w:val="FBF77622"/>
    <w:rsid w:val="FE7F89ED"/>
    <w:rsid w:val="FF6D7F3E"/>
    <w:rsid w:val="FFAD001C"/>
    <w:rsid w:val="FFBF67D3"/>
    <w:rsid w:val="FFD77033"/>
    <w:rsid w:val="FFDF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0"/>
    <w:rPr>
      <w:color w:val="0000FF"/>
      <w:u w:val="single"/>
    </w:rPr>
  </w:style>
  <w:style w:type="character" w:customStyle="1" w:styleId="8">
    <w:name w:val="页眉 字符"/>
    <w:basedOn w:val="6"/>
    <w:link w:val="4"/>
    <w:qFormat/>
    <w:uiPriority w:val="0"/>
    <w:rPr>
      <w:rFonts w:ascii="Times New Roman" w:hAnsi="Times New Roman"/>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6777</Words>
  <Characters>7470</Characters>
  <Lines>88</Lines>
  <Paragraphs>24</Paragraphs>
  <TotalTime>2979</TotalTime>
  <ScaleCrop>false</ScaleCrop>
  <LinksUpToDate>false</LinksUpToDate>
  <CharactersWithSpaces>7723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2023-02-01T23:25:00Z</dcterms:created>
  <dc:creator>fxhuser</dc:creator>
  <cp:lastModifiedBy>执牛耳</cp:lastModifiedBy>
  <cp:lastPrinted>2023-02-08T05:33:00Z</cp:lastPrinted>
  <dcterms:modified xsi:type="dcterms:W3CDTF">2023-04-27T07:47:39Z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62D0BF5FE22D4D788924EA9AB7EFC453</vt:lpwstr>
  </property>
</Properties>
</file>