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高巍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云南大学法学院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云南大学法学院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pStyle w:val="2"/>
        <w:rPr>
          <w:rFonts w:hint="eastAsia"/>
        </w:rPr>
      </w:pP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7"/>
        <w:tblpPr w:leftFromText="180" w:rightFromText="180" w:vertAnchor="text" w:horzAnchor="page" w:tblpX="1622" w:tblpY="-227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104"/>
        <w:gridCol w:w="1276"/>
        <w:gridCol w:w="2016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3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高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巍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217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drawing>
                <wp:inline distT="0" distB="0" distL="114300" distR="114300">
                  <wp:extent cx="1119505" cy="1678940"/>
                  <wp:effectExtent l="0" t="0" r="4445" b="16510"/>
                  <wp:docPr id="1" name="图片 1" descr="云南大学法学院 高巍照片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云南大学法学院 高巍照片 (2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1978.12.31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汉族</w:t>
            </w:r>
          </w:p>
        </w:tc>
        <w:tc>
          <w:tcPr>
            <w:tcW w:w="217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3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博士研究生</w:t>
            </w:r>
          </w:p>
        </w:tc>
        <w:tc>
          <w:tcPr>
            <w:tcW w:w="217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73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法学院党委书记</w:t>
            </w:r>
          </w:p>
        </w:tc>
        <w:tc>
          <w:tcPr>
            <w:tcW w:w="217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7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云南大学</w:t>
            </w:r>
          </w:p>
        </w:tc>
        <w:tc>
          <w:tcPr>
            <w:tcW w:w="217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7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57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云南省昆明市呈贡区云南大学法学院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3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4"/>
                <w:szCs w:val="24"/>
              </w:rPr>
              <w:t>一、 代表性论文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1.《国家符号的刑法保护》，《中国法学》2022年第1期。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5次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2. Reconstructing the Principle of Nullum Crimen Sine Lege，Social Science in China，2021,3.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3.《重构罪刑法定原则》，《中国社会科学》2020年第3期。该文被《新华文摘》《中国社会科学文摘》《高等学校文科学术文摘》、中国人民大学复印报刊资料全文转载。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32次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4.《论教唆故意的明确性》，《政法论坛》2018年第4期。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12次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5.《刑法教义学视野下法益原则的畛域》，《法学》2018年第4期。该文被《中国社会科学文摘》转载。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37次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6.《欺诈发行股票、债券罪的危险犯性质与解释路径》，《政治与法律》2018年第4期。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25次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7.《新时代跨境追逃追赃的理念与机制》，《法学杂志》2018年第6期。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18次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8.《教唆故意的基本构造及具体展开》，《法学家》2017年第2期。该文获云南省哲学社会科学优秀成果二等奖。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3次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9.《刑罚何以正义?——以天津“摆摊打气球案”为例》，《思想战线》2017年第3期。（被引18次）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.《暴恐犯罪的刑法规制》，《法学杂志》2014年第11期。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11次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.《论规范的构成要件要素之主观明知》，《法律科学》2011年第3期。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47次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.《略论“人肉搜索”的刑事规制》，《法学杂志》2010年第3期。该文获云南省哲学社会科学优秀成果二等奖，被中国人民大学复印报刊资料《刑事法学》全文转载。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31次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.《论危险犯的未遂》，《法学评论》2010年第1期。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57次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.《论倒卖车票、船票罪之除罪化》，《政治与法律》2009年第12期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。（被引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17次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.《罪刑法定原则视野中的期待可能性理论》，《云南师范大学学报》2009年第2期。该文获云南省哲学社会科学优秀成果二等奖，被中国人民大学复印报刊资料《刑事法学》全文转载。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10次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16.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《网络裸聊不宜认定为犯罪——与&lt;“裸聊行为”入罪之法理分析&gt;一文商榷》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，《法学》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2007年第9期。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32次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.《抽象危险犯的概念及正当性基础》，《法律科学》2007年第1期。该文被中国人民大学复印报刊资料《法学文摘》转载。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（被引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169次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18.《论“网络裸聊”的司法认定——以罪刑法定原则为边界》，《中国刑事法杂志》2007年第5期。（被引36次）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4"/>
                <w:szCs w:val="24"/>
              </w:rPr>
              <w:t>二、 学术专著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1.《中国禁毒三十年——以刑事规制为主线》（修订版），上海社会科学文献出版社2017年版。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2.《中国禁毒三十年——以刑事规制为主线》，法律出版社2017年版。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3.《贩卖毒品罪研究》，中国人民公安大学出版社2007年版。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4.《盗窃罪基本问题研究》，中国人民公安大学出版社2011年版。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5.《经济刑法要论》，中国社会科学出版社2007年版。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6.《贿赂犯罪》（主编），北京大学出版社2022年版。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7.《刑法总论》（副主编），北京大学出版社2019年版。</w:t>
            </w:r>
          </w:p>
          <w:p>
            <w:pPr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keepNext/>
              <w:keepLines/>
              <w:widowControl w:val="0"/>
              <w:numPr>
                <w:ilvl w:val="0"/>
                <w:numId w:val="0"/>
              </w:numPr>
              <w:spacing w:beforeLines="0" w:beforeAutospacing="0" w:afterLines="0" w:afterAutospacing="0" w:line="660" w:lineRule="exact"/>
              <w:jc w:val="left"/>
              <w:outlineLvl w:val="0"/>
              <w:rPr>
                <w:rFonts w:hint="eastAsia"/>
              </w:rPr>
            </w:pP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beforeAutospacing="0" w:afterLines="0" w:afterAutospacing="0" w:line="240" w:lineRule="exact"/>
              <w:jc w:val="center"/>
              <w:textAlignment w:val="auto"/>
              <w:outlineLvl w:val="0"/>
              <w:rPr>
                <w:rFonts w:hint="eastAsi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《中国刑事法杂志》2007年第9期。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16.《抽象危险犯的概念及正当性基础》，《法律科学》2007年第1期。该文被中国人民大学复印报刊资料《法学文摘》转载。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二、 学术专著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1.《中国禁毒三十年——以刑事规制为主线》（修订版），上海社会科学文献出版社2017年版。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2.《中国禁毒三十年——以刑事规制为主线》，法律出版社2017年版。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3.《贩卖毒品罪研究》，中国人民公安大学出版社2007年版。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4.《盗窃罪基本问题研究》，中国人民公安大学出版社2011年版。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5.《经济刑法要论》，中国社会科学出版社2007年版。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6.《贿赂犯罪》（主编），北京大学出版社2022年版。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7.《刑法总论》（副主编），北京大学出版社2019年版。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3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420"/>
              <w:textAlignment w:val="auto"/>
              <w:rPr>
                <w:rFonts w:hint="eastAsia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2011年度云南省第15次哲学社会科学优秀成果奖二等奖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42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2018年度云南省第22次哲学社会科学优秀成果奖二等奖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C108893-2AF5-43B7-A3C2-CE18EEAFAD6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053AA0C-4393-4B52-BF60-BFA54C233687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BC1C9DE-BB59-429A-A1F7-C0E7E11F57C5}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  <w:embedRegular r:id="rId4" w:fontKey="{D4773C20-69EF-47EA-8AB6-455963E5050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86BECC8-CAB0-4EAD-A97E-AB59983CA4A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52358C"/>
    <w:rsid w:val="00FB06D9"/>
    <w:rsid w:val="0452554E"/>
    <w:rsid w:val="119413C1"/>
    <w:rsid w:val="11A030A0"/>
    <w:rsid w:val="1EBD9178"/>
    <w:rsid w:val="2CEFB339"/>
    <w:rsid w:val="2D842931"/>
    <w:rsid w:val="2EFBBC48"/>
    <w:rsid w:val="331D2D6E"/>
    <w:rsid w:val="3B9D0C2F"/>
    <w:rsid w:val="3BBF1B45"/>
    <w:rsid w:val="3DFF8C80"/>
    <w:rsid w:val="3FAC72FC"/>
    <w:rsid w:val="3FDF6C0E"/>
    <w:rsid w:val="3FE95ABC"/>
    <w:rsid w:val="56EEFD7E"/>
    <w:rsid w:val="57B74E1B"/>
    <w:rsid w:val="591FD8F5"/>
    <w:rsid w:val="5AAC40BB"/>
    <w:rsid w:val="5DD32290"/>
    <w:rsid w:val="5DF46E1D"/>
    <w:rsid w:val="5DFE9812"/>
    <w:rsid w:val="5DFEE7D4"/>
    <w:rsid w:val="5F3743E3"/>
    <w:rsid w:val="5FBC2178"/>
    <w:rsid w:val="62F74042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8F6967"/>
    <w:rsid w:val="F7AF7DD2"/>
    <w:rsid w:val="F9FFB340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880" w:firstLineChars="200"/>
      <w:jc w:val="center"/>
      <w:outlineLvl w:val="0"/>
    </w:pPr>
    <w:rPr>
      <w:rFonts w:ascii="Calibri" w:hAnsi="Calibri"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qFormat/>
    <w:uiPriority w:val="20"/>
    <w:rPr>
      <w:color w:val="CC0000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abstract-tex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2743</Words>
  <Characters>3123</Characters>
  <Lines>12</Lines>
  <Paragraphs>3</Paragraphs>
  <TotalTime>2</TotalTime>
  <ScaleCrop>false</ScaleCrop>
  <LinksUpToDate>false</LinksUpToDate>
  <CharactersWithSpaces>3280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2022-12-29T03:44:00Z</dcterms:created>
  <dc:creator>fxhuser</dc:creator>
  <cp:lastModifiedBy>执牛耳</cp:lastModifiedBy>
  <cp:lastPrinted>2023-03-02T08:37:00Z</cp:lastPrinted>
  <dcterms:modified xsi:type="dcterms:W3CDTF">2023-04-27T08:44:05Z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CEC40D805A8F46BDB2CB1F8D76CF6ACF</vt:lpwstr>
  </property>
</Properties>
</file>