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eastAsia="仿宋"/>
          <w:bCs/>
          <w:color w:val="000000"/>
          <w:kern w:val="0"/>
          <w:sz w:val="32"/>
          <w:szCs w:val="32"/>
        </w:rPr>
      </w:pPr>
      <w:r>
        <w:rPr>
          <w:rFonts w:hint="eastAsia" w:eastAsia="仿宋" w:cs="Arial"/>
          <w:kern w:val="0"/>
          <w:sz w:val="32"/>
          <w:szCs w:val="32"/>
        </w:rPr>
        <w:t>附件2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pacing w:line="7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/>
          <w:b/>
          <w:bCs/>
          <w:sz w:val="44"/>
          <w:szCs w:val="44"/>
        </w:rPr>
        <w:t>推荐表</w:t>
      </w:r>
    </w:p>
    <w:p/>
    <w:p/>
    <w:p/>
    <w:p/>
    <w:p/>
    <w:p/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rPr>
          <w:sz w:val="28"/>
          <w:szCs w:val="28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焦海涛    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中国政法大学             </w:t>
      </w:r>
    </w:p>
    <w:p>
      <w:pPr>
        <w:snapToGrid w:val="0"/>
        <w:rPr>
          <w:rFonts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中国法学会经济法学研究会       </w:t>
      </w: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snapToGrid w:val="0"/>
        <w:rPr>
          <w:rFonts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sz w:val="32"/>
          <w:szCs w:val="32"/>
        </w:rPr>
      </w:pPr>
      <w:r>
        <w:rPr>
          <w:rFonts w:hint="eastAsia"/>
          <w:sz w:val="32"/>
          <w:szCs w:val="32"/>
        </w:rPr>
        <w:t>中国法学会</w:t>
      </w:r>
    </w:p>
    <w:p>
      <w:pPr>
        <w:snapToGrid w:val="0"/>
        <w:jc w:val="center"/>
        <w:rPr>
          <w:rFonts w:eastAsia="仿宋_GB2312"/>
          <w:b/>
          <w:bCs/>
          <w:szCs w:val="21"/>
          <w:u w:val="single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  <w:lang w:val="en"/>
        </w:rPr>
        <w:t>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lang w:val="en"/>
        </w:rPr>
        <w:t>12</w:t>
      </w:r>
      <w:r>
        <w:rPr>
          <w:rFonts w:hint="eastAsia"/>
          <w:sz w:val="32"/>
          <w:szCs w:val="32"/>
        </w:rPr>
        <w:t>月印制</w:t>
      </w:r>
    </w:p>
    <w:p>
      <w:pPr>
        <w:snapToGrid w:val="0"/>
        <w:rPr>
          <w:rFonts w:eastAsia="仿宋_GB2312"/>
          <w:szCs w:val="21"/>
        </w:rPr>
      </w:pPr>
    </w:p>
    <w:p>
      <w:pPr>
        <w:spacing w:line="440" w:lineRule="exact"/>
        <w:jc w:val="center"/>
        <w:rPr>
          <w:b/>
          <w:sz w:val="30"/>
        </w:rPr>
      </w:pPr>
    </w:p>
    <w:p>
      <w:pPr>
        <w:spacing w:line="440" w:lineRule="exact"/>
        <w:jc w:val="center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填</w:t>
      </w:r>
      <w:r>
        <w:rPr>
          <w:rFonts w:eastAsia="仿宋"/>
          <w:b/>
          <w:sz w:val="32"/>
          <w:szCs w:val="32"/>
        </w:rPr>
        <w:t xml:space="preserve">  </w:t>
      </w:r>
      <w:r>
        <w:rPr>
          <w:rFonts w:hint="eastAsia" w:eastAsia="仿宋"/>
          <w:b/>
          <w:sz w:val="32"/>
          <w:szCs w:val="32"/>
        </w:rPr>
        <w:t>表</w:t>
      </w:r>
      <w:r>
        <w:rPr>
          <w:rFonts w:eastAsia="仿宋"/>
          <w:b/>
          <w:sz w:val="32"/>
          <w:szCs w:val="32"/>
        </w:rPr>
        <w:t xml:space="preserve">  </w:t>
      </w:r>
      <w:r>
        <w:rPr>
          <w:rFonts w:hint="eastAsia" w:eastAsia="仿宋"/>
          <w:b/>
          <w:sz w:val="32"/>
          <w:szCs w:val="32"/>
        </w:rPr>
        <w:t>说</w:t>
      </w:r>
      <w:r>
        <w:rPr>
          <w:rFonts w:eastAsia="仿宋"/>
          <w:b/>
          <w:sz w:val="32"/>
          <w:szCs w:val="32"/>
        </w:rPr>
        <w:t xml:space="preserve">  </w:t>
      </w:r>
      <w:r>
        <w:rPr>
          <w:rFonts w:hint="eastAsia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eastAsia="仿宋"/>
          <w:sz w:val="28"/>
          <w:szCs w:val="28"/>
        </w:rPr>
        <w:t>本表电子版发至指定邮箱</w:t>
      </w:r>
      <w:r>
        <w:rPr>
          <w:rFonts w:hint="eastAsia" w:eastAsia="仿宋"/>
          <w:sz w:val="28"/>
          <w:szCs w:val="28"/>
        </w:rPr>
        <w:fldChar w:fldCharType="end"/>
      </w:r>
      <w:r>
        <w:rPr>
          <w:rFonts w:hint="eastAsia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联 系 人：魏丽莎 于晓航  010-66</w:t>
      </w:r>
      <w:r>
        <w:rPr>
          <w:rFonts w:eastAsia="仿宋"/>
          <w:color w:val="000000"/>
          <w:sz w:val="28"/>
          <w:szCs w:val="28"/>
          <w:lang w:val="en"/>
        </w:rPr>
        <w:t>1</w:t>
      </w:r>
      <w:r>
        <w:rPr>
          <w:rFonts w:hint="eastAsia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pacing w:val="-6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邮寄地址：</w:t>
      </w:r>
      <w:r>
        <w:rPr>
          <w:rFonts w:hint="eastAsia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eastAsia="仿宋"/>
          <w:color w:val="000000"/>
          <w:sz w:val="28"/>
          <w:szCs w:val="28"/>
        </w:rPr>
      </w:pPr>
      <w:r>
        <w:rPr>
          <w:rFonts w:hint="eastAsia" w:eastAsia="仿宋"/>
          <w:color w:val="000000"/>
          <w:sz w:val="28"/>
          <w:szCs w:val="28"/>
        </w:rPr>
        <w:t>电子邮箱：</w:t>
      </w:r>
      <w:r>
        <w:rPr>
          <w:rFonts w:hint="eastAsia" w:eastAsia="仿宋"/>
          <w:color w:val="000000"/>
          <w:sz w:val="28"/>
          <w:szCs w:val="28"/>
        </w:rPr>
        <w:fldChar w:fldCharType="begin"/>
      </w:r>
      <w:r>
        <w:rPr>
          <w:rFonts w:hint="eastAsia" w:eastAsia="仿宋"/>
          <w:color w:val="000000"/>
          <w:sz w:val="28"/>
          <w:szCs w:val="28"/>
        </w:rPr>
        <w:instrText xml:space="preserve"> HYPERLINK "mailto:qnfxj2022@163.com" </w:instrText>
      </w:r>
      <w:r>
        <w:rPr>
          <w:rFonts w:hint="eastAsia" w:eastAsia="仿宋"/>
          <w:color w:val="000000"/>
          <w:sz w:val="28"/>
          <w:szCs w:val="28"/>
        </w:rPr>
        <w:fldChar w:fldCharType="separate"/>
      </w:r>
      <w:r>
        <w:rPr>
          <w:rStyle w:val="12"/>
          <w:rFonts w:hint="eastAsia" w:eastAsia="仿宋"/>
          <w:color w:val="000000"/>
          <w:sz w:val="28"/>
          <w:szCs w:val="28"/>
        </w:rPr>
        <w:t>qnfxj2022@163.com</w:t>
      </w:r>
      <w:r>
        <w:rPr>
          <w:rFonts w:hint="eastAsia" w:eastAsia="仿宋"/>
          <w:color w:val="000000"/>
          <w:sz w:val="28"/>
          <w:szCs w:val="28"/>
        </w:rPr>
        <w:fldChar w:fldCharType="end"/>
      </w:r>
    </w:p>
    <w:p>
      <w:pPr>
        <w:snapToGrid w:val="0"/>
        <w:spacing w:line="560" w:lineRule="exact"/>
        <w:ind w:firstLine="560" w:firstLineChars="200"/>
        <w:rPr>
          <w:rFonts w:hint="eastAsia" w:eastAsia="仿宋"/>
          <w:color w:val="000000"/>
          <w:sz w:val="28"/>
          <w:szCs w:val="28"/>
        </w:rPr>
      </w:pPr>
    </w:p>
    <w:p>
      <w:pPr>
        <w:rPr>
          <w:b/>
          <w:bCs/>
          <w:color w:val="000000"/>
          <w:sz w:val="24"/>
        </w:rPr>
      </w:pPr>
    </w:p>
    <w:tbl>
      <w:tblPr>
        <w:tblStyle w:val="8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焦海涛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男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drawing>
                <wp:inline distT="0" distB="0" distL="0" distR="0">
                  <wp:extent cx="1122680" cy="156527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982</w:t>
            </w:r>
            <w:r>
              <w:rPr>
                <w:rFonts w:hint="eastAsia"/>
                <w:b/>
                <w:color w:val="000000"/>
                <w:sz w:val="24"/>
              </w:rPr>
              <w:t>年3月2</w:t>
            </w:r>
            <w:r>
              <w:rPr>
                <w:b/>
                <w:color w:val="000000"/>
                <w:sz w:val="24"/>
              </w:rPr>
              <w:t>0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汉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民盟盟员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博士研究生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中国政法大学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北京市海淀区西土城路2</w:t>
            </w:r>
            <w:r>
              <w:rPr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spacing w:line="300" w:lineRule="auto"/>
              <w:ind w:firstLine="440" w:firstLineChars="200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一、学术著作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1</w:t>
            </w:r>
            <w:r>
              <w:rPr>
                <w:rFonts w:hint="eastAsia" w:eastAsia="楷体"/>
                <w:sz w:val="22"/>
                <w:szCs w:val="22"/>
              </w:rPr>
              <w:t>．专著：《反垄断法上的社会政策目标》，中国政法大学出版社2019年版，2</w:t>
            </w:r>
            <w:r>
              <w:rPr>
                <w:rFonts w:eastAsia="楷体"/>
                <w:sz w:val="22"/>
                <w:szCs w:val="22"/>
              </w:rPr>
              <w:t>1.5</w:t>
            </w:r>
            <w:r>
              <w:rPr>
                <w:rFonts w:hint="eastAsia" w:eastAsia="楷体"/>
                <w:sz w:val="22"/>
                <w:szCs w:val="22"/>
              </w:rPr>
              <w:t>万字；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</w:t>
            </w:r>
            <w:r>
              <w:rPr>
                <w:rFonts w:hint="eastAsia" w:eastAsia="楷体"/>
                <w:sz w:val="22"/>
                <w:szCs w:val="22"/>
              </w:rPr>
              <w:t>．专著：《反垄断法实施中的承诺制度》，法律出版社2017年版，2</w:t>
            </w:r>
            <w:r>
              <w:rPr>
                <w:rFonts w:eastAsia="楷体"/>
                <w:sz w:val="22"/>
                <w:szCs w:val="22"/>
              </w:rPr>
              <w:t>9</w:t>
            </w:r>
            <w:r>
              <w:rPr>
                <w:rFonts w:hint="eastAsia" w:eastAsia="楷体"/>
                <w:sz w:val="22"/>
                <w:szCs w:val="22"/>
              </w:rPr>
              <w:t>万字；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3．合著：《中华人民共和国反垄断法理解与适用》，中国法制出版社2</w:t>
            </w:r>
            <w:r>
              <w:rPr>
                <w:rFonts w:eastAsia="楷体"/>
                <w:sz w:val="22"/>
                <w:szCs w:val="22"/>
              </w:rPr>
              <w:t>022</w:t>
            </w:r>
            <w:r>
              <w:rPr>
                <w:rFonts w:hint="eastAsia" w:eastAsia="楷体"/>
                <w:sz w:val="22"/>
                <w:szCs w:val="22"/>
              </w:rPr>
              <w:t>年版，3</w:t>
            </w:r>
            <w:r>
              <w:rPr>
                <w:rFonts w:eastAsia="楷体"/>
                <w:sz w:val="22"/>
                <w:szCs w:val="22"/>
              </w:rPr>
              <w:t>4</w:t>
            </w:r>
            <w:r>
              <w:rPr>
                <w:rFonts w:hint="eastAsia" w:eastAsia="楷体"/>
                <w:sz w:val="22"/>
                <w:szCs w:val="22"/>
              </w:rPr>
              <w:t>万字；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bookmarkStart w:id="0" w:name="_Hlk126185073"/>
            <w:r>
              <w:rPr>
                <w:rFonts w:eastAsia="楷体"/>
                <w:sz w:val="22"/>
                <w:szCs w:val="22"/>
              </w:rPr>
              <w:t>4</w:t>
            </w:r>
            <w:r>
              <w:rPr>
                <w:rFonts w:hint="eastAsia" w:eastAsia="楷体"/>
                <w:sz w:val="22"/>
                <w:szCs w:val="22"/>
              </w:rPr>
              <w:t>．合著：《经济法学专题研究》，法律出版社2013年版，4</w:t>
            </w:r>
            <w:r>
              <w:rPr>
                <w:rFonts w:eastAsia="楷体"/>
                <w:sz w:val="22"/>
                <w:szCs w:val="22"/>
              </w:rPr>
              <w:t>1.2</w:t>
            </w:r>
            <w:r>
              <w:rPr>
                <w:rFonts w:hint="eastAsia" w:eastAsia="楷体"/>
                <w:sz w:val="22"/>
                <w:szCs w:val="22"/>
              </w:rPr>
              <w:t>万字；</w:t>
            </w:r>
          </w:p>
          <w:bookmarkEnd w:id="0"/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5</w:t>
            </w:r>
            <w:r>
              <w:rPr>
                <w:rFonts w:hint="eastAsia" w:eastAsia="楷体"/>
                <w:sz w:val="22"/>
                <w:szCs w:val="22"/>
              </w:rPr>
              <w:t>．合著：《反垄断法理论与中外案例评析》，北京大学出版社2008年版，5</w:t>
            </w:r>
            <w:r>
              <w:rPr>
                <w:rFonts w:eastAsia="楷体"/>
                <w:sz w:val="22"/>
                <w:szCs w:val="22"/>
              </w:rPr>
              <w:t>2.8</w:t>
            </w:r>
            <w:r>
              <w:rPr>
                <w:rFonts w:hint="eastAsia" w:eastAsia="楷体"/>
                <w:sz w:val="22"/>
                <w:szCs w:val="22"/>
              </w:rPr>
              <w:t>万字；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6</w:t>
            </w:r>
            <w:r>
              <w:rPr>
                <w:rFonts w:hint="eastAsia" w:eastAsia="楷体"/>
                <w:sz w:val="22"/>
                <w:szCs w:val="22"/>
              </w:rPr>
              <w:t>．编著：《反垄断行政执法典型案件分析与解读（2008-2018）》（时建中、焦海涛、戴龙），中国政法大学出版社2018年版，5</w:t>
            </w:r>
            <w:r>
              <w:rPr>
                <w:rFonts w:eastAsia="楷体"/>
                <w:sz w:val="22"/>
                <w:szCs w:val="22"/>
              </w:rPr>
              <w:t>6.5</w:t>
            </w:r>
            <w:r>
              <w:rPr>
                <w:rFonts w:hint="eastAsia" w:eastAsia="楷体"/>
                <w:sz w:val="22"/>
                <w:szCs w:val="22"/>
              </w:rPr>
              <w:t>万字；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7</w:t>
            </w:r>
            <w:r>
              <w:rPr>
                <w:rFonts w:hint="eastAsia" w:eastAsia="楷体"/>
                <w:sz w:val="22"/>
                <w:szCs w:val="22"/>
              </w:rPr>
              <w:t>．编著：《反垄断诉讼典型案件分析与解读（2008-2018）》（时建中、戴龙、焦海涛），中国政法大学出版社2018年版，3</w:t>
            </w:r>
            <w:r>
              <w:rPr>
                <w:rFonts w:eastAsia="楷体"/>
                <w:sz w:val="22"/>
                <w:szCs w:val="22"/>
              </w:rPr>
              <w:t>9.5</w:t>
            </w:r>
            <w:r>
              <w:rPr>
                <w:rFonts w:hint="eastAsia" w:eastAsia="楷体"/>
                <w:sz w:val="22"/>
                <w:szCs w:val="22"/>
              </w:rPr>
              <w:t>万字。</w:t>
            </w:r>
          </w:p>
          <w:p>
            <w:pPr>
              <w:spacing w:line="300" w:lineRule="auto"/>
              <w:ind w:firstLine="420" w:firstLineChars="200"/>
              <w:rPr>
                <w:rFonts w:eastAsia="楷体"/>
                <w:szCs w:val="21"/>
              </w:rPr>
            </w:pPr>
          </w:p>
          <w:p>
            <w:pPr>
              <w:spacing w:line="300" w:lineRule="auto"/>
              <w:ind w:firstLine="440" w:firstLineChars="200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二、学术论文（均独立署名）</w:t>
            </w:r>
          </w:p>
          <w:p>
            <w:pPr>
              <w:spacing w:line="300" w:lineRule="auto"/>
              <w:ind w:firstLine="442" w:firstLineChars="200"/>
              <w:rPr>
                <w:rFonts w:eastAsia="楷体"/>
                <w:b/>
                <w:bCs/>
                <w:sz w:val="22"/>
                <w:szCs w:val="22"/>
              </w:rPr>
            </w:pPr>
            <w:r>
              <w:rPr>
                <w:rFonts w:hint="eastAsia" w:eastAsia="楷体"/>
                <w:b/>
                <w:bCs/>
                <w:sz w:val="22"/>
                <w:szCs w:val="22"/>
              </w:rPr>
              <w:t>（一）法学类C</w:t>
            </w:r>
            <w:r>
              <w:rPr>
                <w:rFonts w:eastAsia="楷体"/>
                <w:b/>
                <w:bCs/>
                <w:sz w:val="22"/>
                <w:szCs w:val="22"/>
              </w:rPr>
              <w:t>SSCI</w:t>
            </w:r>
            <w:r>
              <w:rPr>
                <w:rFonts w:hint="eastAsia" w:eastAsia="楷体"/>
                <w:b/>
                <w:bCs/>
                <w:sz w:val="22"/>
                <w:szCs w:val="22"/>
              </w:rPr>
              <w:t>期刊论文（前3篇为代表性论文）</w:t>
            </w:r>
          </w:p>
          <w:p>
            <w:pPr>
              <w:spacing w:line="300" w:lineRule="auto"/>
              <w:ind w:firstLine="442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b/>
                <w:bCs/>
                <w:sz w:val="22"/>
                <w:szCs w:val="22"/>
                <w:u w:val="single"/>
              </w:rPr>
              <w:t>1</w:t>
            </w:r>
            <w:r>
              <w:rPr>
                <w:rFonts w:hint="eastAsia" w:eastAsia="楷体"/>
                <w:b/>
                <w:bCs/>
                <w:sz w:val="22"/>
                <w:szCs w:val="22"/>
                <w:u w:val="single"/>
              </w:rPr>
              <w:t>．《个人信息的反垄断法保护：从附属保护到独立保护》</w:t>
            </w:r>
            <w:r>
              <w:rPr>
                <w:rFonts w:hint="eastAsia" w:eastAsia="楷体"/>
                <w:sz w:val="22"/>
                <w:szCs w:val="22"/>
                <w:u w:val="single"/>
              </w:rPr>
              <w:t>，</w:t>
            </w:r>
            <w:r>
              <w:rPr>
                <w:rFonts w:hint="eastAsia" w:eastAsia="楷体"/>
                <w:sz w:val="22"/>
                <w:szCs w:val="22"/>
              </w:rPr>
              <w:t>《法学》2021年第4期，2万字，知网被引6</w:t>
            </w:r>
            <w:r>
              <w:rPr>
                <w:rFonts w:eastAsia="楷体"/>
                <w:sz w:val="22"/>
                <w:szCs w:val="22"/>
              </w:rPr>
              <w:t>5</w:t>
            </w:r>
            <w:r>
              <w:rPr>
                <w:rFonts w:hint="eastAsia" w:eastAsia="楷体"/>
                <w:sz w:val="22"/>
                <w:szCs w:val="22"/>
              </w:rPr>
              <w:t>次，人大复印资料《经济法学、劳动法学》202</w:t>
            </w:r>
            <w:r>
              <w:rPr>
                <w:rFonts w:eastAsia="楷体"/>
                <w:sz w:val="22"/>
                <w:szCs w:val="22"/>
              </w:rPr>
              <w:t>1/</w:t>
            </w:r>
            <w:r>
              <w:rPr>
                <w:rFonts w:hint="eastAsia" w:eastAsia="楷体"/>
                <w:sz w:val="22"/>
                <w:szCs w:val="22"/>
              </w:rPr>
              <w:t>9全文转载；</w:t>
            </w:r>
          </w:p>
          <w:p>
            <w:pPr>
              <w:spacing w:line="300" w:lineRule="auto"/>
              <w:ind w:firstLine="442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b/>
                <w:bCs/>
                <w:sz w:val="22"/>
                <w:szCs w:val="22"/>
                <w:u w:val="single"/>
              </w:rPr>
              <w:t>2</w:t>
            </w:r>
            <w:r>
              <w:rPr>
                <w:rFonts w:hint="eastAsia" w:eastAsia="楷体"/>
                <w:b/>
                <w:bCs/>
                <w:sz w:val="22"/>
                <w:szCs w:val="22"/>
                <w:u w:val="single"/>
              </w:rPr>
              <w:t>．《环境保护与反垄断法绿色豁免制度》</w:t>
            </w:r>
            <w:r>
              <w:rPr>
                <w:rFonts w:hint="eastAsia" w:eastAsia="楷体"/>
                <w:sz w:val="22"/>
                <w:szCs w:val="22"/>
                <w:u w:val="single"/>
              </w:rPr>
              <w:t>，</w:t>
            </w:r>
            <w:r>
              <w:rPr>
                <w:rFonts w:hint="eastAsia" w:eastAsia="楷体"/>
                <w:sz w:val="22"/>
                <w:szCs w:val="22"/>
              </w:rPr>
              <w:t>《法律科学》2019年第3期，</w:t>
            </w:r>
            <w:r>
              <w:rPr>
                <w:rFonts w:eastAsia="楷体"/>
                <w:sz w:val="22"/>
                <w:szCs w:val="22"/>
              </w:rPr>
              <w:t>2.9</w:t>
            </w:r>
            <w:r>
              <w:rPr>
                <w:rFonts w:hint="eastAsia" w:eastAsia="楷体"/>
                <w:sz w:val="22"/>
                <w:szCs w:val="22"/>
              </w:rPr>
              <w:t>万字，知网被引6</w:t>
            </w:r>
            <w:r>
              <w:rPr>
                <w:rFonts w:eastAsia="楷体"/>
                <w:sz w:val="22"/>
                <w:szCs w:val="22"/>
              </w:rPr>
              <w:t>7</w:t>
            </w:r>
            <w:r>
              <w:rPr>
                <w:rFonts w:hint="eastAsia" w:eastAsia="楷体"/>
                <w:sz w:val="22"/>
                <w:szCs w:val="22"/>
              </w:rPr>
              <w:t>次，人大复印报刊资料《经济法学、劳动法学》2019/10全文转载；</w:t>
            </w:r>
          </w:p>
          <w:p>
            <w:pPr>
              <w:spacing w:line="300" w:lineRule="auto"/>
              <w:ind w:firstLine="442" w:firstLineChars="200"/>
              <w:rPr>
                <w:rFonts w:eastAsia="楷体"/>
                <w:sz w:val="22"/>
                <w:szCs w:val="22"/>
                <w:u w:val="single"/>
              </w:rPr>
            </w:pPr>
            <w:r>
              <w:rPr>
                <w:rFonts w:eastAsia="楷体"/>
                <w:b/>
                <w:bCs/>
                <w:sz w:val="22"/>
                <w:szCs w:val="22"/>
                <w:u w:val="single"/>
              </w:rPr>
              <w:t>3</w:t>
            </w:r>
            <w:r>
              <w:rPr>
                <w:rFonts w:hint="eastAsia" w:eastAsia="楷体"/>
                <w:b/>
                <w:bCs/>
                <w:sz w:val="22"/>
                <w:szCs w:val="22"/>
                <w:u w:val="single"/>
              </w:rPr>
              <w:t>．《不正当竞争行为认定中的实用主义批判》</w:t>
            </w:r>
            <w:r>
              <w:rPr>
                <w:rFonts w:hint="eastAsia" w:eastAsia="楷体"/>
                <w:sz w:val="22"/>
                <w:szCs w:val="22"/>
                <w:u w:val="single"/>
              </w:rPr>
              <w:t>，</w:t>
            </w:r>
            <w:r>
              <w:rPr>
                <w:rFonts w:hint="eastAsia" w:eastAsia="楷体"/>
                <w:sz w:val="22"/>
                <w:szCs w:val="22"/>
              </w:rPr>
              <w:t>《中国法学》2017年第1期，2万字，知网被引</w:t>
            </w:r>
            <w:r>
              <w:rPr>
                <w:rFonts w:eastAsia="楷体"/>
                <w:sz w:val="22"/>
                <w:szCs w:val="22"/>
              </w:rPr>
              <w:t>227</w:t>
            </w:r>
            <w:r>
              <w:rPr>
                <w:rFonts w:hint="eastAsia" w:eastAsia="楷体"/>
                <w:sz w:val="22"/>
                <w:szCs w:val="22"/>
              </w:rPr>
              <w:t>次，人大复印报刊资料《经济法学、劳动法学》2017/4全文转载；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4</w:t>
            </w:r>
            <w:r>
              <w:rPr>
                <w:rFonts w:hint="eastAsia" w:eastAsia="楷体"/>
                <w:sz w:val="22"/>
                <w:szCs w:val="22"/>
              </w:rPr>
              <w:t>．《罕见病药品供应中的市场独占权及其法律限制》，《东方法学》2</w:t>
            </w:r>
            <w:r>
              <w:rPr>
                <w:rFonts w:eastAsia="楷体"/>
                <w:sz w:val="22"/>
                <w:szCs w:val="22"/>
              </w:rPr>
              <w:t>022</w:t>
            </w:r>
            <w:r>
              <w:rPr>
                <w:rFonts w:hint="eastAsia" w:eastAsia="楷体"/>
                <w:sz w:val="22"/>
                <w:szCs w:val="22"/>
              </w:rPr>
              <w:t>年第5期；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5</w:t>
            </w:r>
            <w:r>
              <w:rPr>
                <w:rFonts w:hint="eastAsia" w:eastAsia="楷体"/>
                <w:sz w:val="22"/>
                <w:szCs w:val="22"/>
              </w:rPr>
              <w:t>．《互联网不兼容行为中“恶意”的解释与认定》，《法学家》2022年第4期，人大复印报刊资料《经济法学、劳动法学》202</w:t>
            </w:r>
            <w:r>
              <w:rPr>
                <w:rFonts w:eastAsia="楷体"/>
                <w:sz w:val="22"/>
                <w:szCs w:val="22"/>
              </w:rPr>
              <w:t>2</w:t>
            </w:r>
            <w:r>
              <w:rPr>
                <w:rFonts w:hint="eastAsia" w:eastAsia="楷体"/>
                <w:sz w:val="22"/>
                <w:szCs w:val="22"/>
              </w:rPr>
              <w:t>/</w:t>
            </w:r>
            <w:r>
              <w:rPr>
                <w:rFonts w:eastAsia="楷体"/>
                <w:sz w:val="22"/>
                <w:szCs w:val="22"/>
              </w:rPr>
              <w:t>12</w:t>
            </w:r>
            <w:r>
              <w:rPr>
                <w:rFonts w:hint="eastAsia" w:eastAsia="楷体"/>
                <w:sz w:val="22"/>
                <w:szCs w:val="22"/>
              </w:rPr>
              <w:t>全文转载；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6</w:t>
            </w:r>
            <w:r>
              <w:rPr>
                <w:rFonts w:hint="eastAsia" w:eastAsia="楷体"/>
                <w:sz w:val="22"/>
                <w:szCs w:val="22"/>
              </w:rPr>
              <w:t>．《我国反垄断法修订中比例原则的引入》，《华东政法大学学报》2020年第2期，人大复印报刊资料《经济法学、劳动法学》2020/7全文转载；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7</w:t>
            </w:r>
            <w:r>
              <w:rPr>
                <w:rFonts w:hint="eastAsia" w:eastAsia="楷体"/>
                <w:sz w:val="22"/>
                <w:szCs w:val="22"/>
              </w:rPr>
              <w:t>．《纵向非价格垄断协议的反垄断法规制：困境与出路》，《现代法学》2019年第4期；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8</w:t>
            </w:r>
            <w:r>
              <w:rPr>
                <w:rFonts w:hint="eastAsia" w:eastAsia="楷体"/>
                <w:sz w:val="22"/>
                <w:szCs w:val="22"/>
              </w:rPr>
              <w:t>．《文化多样性保护与反垄断法文化豁免制度》，《法学》2017年第12期；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9</w:t>
            </w:r>
            <w:r>
              <w:rPr>
                <w:rFonts w:hint="eastAsia" w:eastAsia="楷体"/>
                <w:sz w:val="22"/>
                <w:szCs w:val="22"/>
              </w:rPr>
              <w:t>．《社会政策目标的反垄断法豁免标准》，《法学评论》2017年第4期，人大复印报刊资料《经济法学、劳动法学》2017年第10期全文转载；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10</w:t>
            </w:r>
            <w:r>
              <w:rPr>
                <w:rFonts w:hint="eastAsia" w:eastAsia="楷体"/>
                <w:sz w:val="22"/>
                <w:szCs w:val="22"/>
              </w:rPr>
              <w:t>．《行业协会的反垄断法主体地位——基于中国体育垄断第一案的分析》，《法学》2016年第7期；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11</w:t>
            </w:r>
            <w:r>
              <w:rPr>
                <w:rFonts w:hint="eastAsia" w:eastAsia="楷体"/>
                <w:sz w:val="22"/>
                <w:szCs w:val="22"/>
              </w:rPr>
              <w:t>．《经济法主体制度重构：一个常识主义视角》，《现代法学》2016年第3期；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12</w:t>
            </w:r>
            <w:r>
              <w:rPr>
                <w:rFonts w:hint="eastAsia" w:eastAsia="楷体"/>
                <w:sz w:val="22"/>
                <w:szCs w:val="22"/>
              </w:rPr>
              <w:t>．《</w:t>
            </w:r>
            <w:bookmarkStart w:id="1" w:name="OLE_LINK16"/>
            <w:bookmarkStart w:id="2" w:name="OLE_LINK15"/>
            <w:r>
              <w:rPr>
                <w:rFonts w:hint="eastAsia" w:eastAsia="楷体"/>
                <w:sz w:val="22"/>
                <w:szCs w:val="22"/>
              </w:rPr>
              <w:t>平台经营者统一销售策略行为的反垄断法适用</w:t>
            </w:r>
            <w:bookmarkEnd w:id="1"/>
            <w:bookmarkEnd w:id="2"/>
            <w:r>
              <w:rPr>
                <w:rFonts w:hint="eastAsia" w:eastAsia="楷体"/>
                <w:sz w:val="22"/>
                <w:szCs w:val="22"/>
              </w:rPr>
              <w:t>》，《法学》2015年第7期；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13</w:t>
            </w:r>
            <w:r>
              <w:rPr>
                <w:rFonts w:hint="eastAsia" w:eastAsia="楷体"/>
                <w:sz w:val="22"/>
                <w:szCs w:val="22"/>
              </w:rPr>
              <w:t>．《反垄断法承诺制度的适用范围研究》，《法商研究》2013年第2期；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14</w:t>
            </w:r>
            <w:r>
              <w:rPr>
                <w:rFonts w:hint="eastAsia" w:eastAsia="楷体"/>
                <w:sz w:val="22"/>
                <w:szCs w:val="22"/>
              </w:rPr>
              <w:t>．《银行暴利的法律控制：放松管制而非反垄断》，《华东政法大学学报》</w:t>
            </w:r>
            <w:r>
              <w:rPr>
                <w:rFonts w:hint="eastAsia" w:eastAsia="楷体"/>
                <w:spacing w:val="-10"/>
                <w:sz w:val="22"/>
                <w:szCs w:val="22"/>
              </w:rPr>
              <w:t>2013年第2期</w:t>
            </w:r>
            <w:r>
              <w:rPr>
                <w:rFonts w:hint="eastAsia" w:eastAsia="楷体"/>
                <w:sz w:val="22"/>
                <w:szCs w:val="22"/>
              </w:rPr>
              <w:t>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15</w:t>
            </w:r>
            <w:r>
              <w:rPr>
                <w:rFonts w:hint="eastAsia" w:eastAsia="楷体"/>
                <w:sz w:val="22"/>
                <w:szCs w:val="22"/>
              </w:rPr>
              <w:t>．《反垄断法承诺制度适用的程序控制》，《法学家》2013年第1期；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1</w:t>
            </w:r>
            <w:r>
              <w:rPr>
                <w:rFonts w:eastAsia="楷体"/>
                <w:sz w:val="22"/>
                <w:szCs w:val="22"/>
              </w:rPr>
              <w:t>6</w:t>
            </w:r>
            <w:r>
              <w:rPr>
                <w:rFonts w:hint="eastAsia" w:eastAsia="楷体"/>
                <w:sz w:val="22"/>
                <w:szCs w:val="22"/>
              </w:rPr>
              <w:t>．《电信、联通垄断案中承诺的消极效应》，《法学》2012年第3期；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1</w:t>
            </w:r>
            <w:r>
              <w:rPr>
                <w:rFonts w:eastAsia="楷体"/>
                <w:sz w:val="22"/>
                <w:szCs w:val="22"/>
              </w:rPr>
              <w:t>7</w:t>
            </w:r>
            <w:r>
              <w:rPr>
                <w:rFonts w:hint="eastAsia" w:eastAsia="楷体"/>
                <w:sz w:val="22"/>
                <w:szCs w:val="22"/>
              </w:rPr>
              <w:t>．《第二十届全国经济法理论研讨会综述》，《法商研究》2012年第3期；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1</w:t>
            </w:r>
            <w:r>
              <w:rPr>
                <w:rFonts w:eastAsia="楷体"/>
                <w:sz w:val="22"/>
                <w:szCs w:val="22"/>
              </w:rPr>
              <w:t>8</w:t>
            </w:r>
            <w:r>
              <w:rPr>
                <w:rFonts w:hint="eastAsia" w:eastAsia="楷体"/>
                <w:sz w:val="22"/>
                <w:szCs w:val="22"/>
              </w:rPr>
              <w:t>．《我国经营者承诺制度的适用与完善》，《当代法学》2012年第2期；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1</w:t>
            </w:r>
            <w:r>
              <w:rPr>
                <w:rFonts w:eastAsia="楷体"/>
                <w:sz w:val="22"/>
                <w:szCs w:val="22"/>
              </w:rPr>
              <w:t>9</w:t>
            </w:r>
            <w:r>
              <w:rPr>
                <w:rFonts w:hint="eastAsia" w:eastAsia="楷体"/>
                <w:sz w:val="22"/>
                <w:szCs w:val="22"/>
              </w:rPr>
              <w:t>．《第十九届全国经济法理论研讨会综述》，《法商研究》2011年第6期；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20</w:t>
            </w:r>
            <w:r>
              <w:rPr>
                <w:rFonts w:hint="eastAsia" w:eastAsia="楷体"/>
                <w:sz w:val="22"/>
                <w:szCs w:val="22"/>
              </w:rPr>
              <w:t>．《论“促进型”经济法的功能与结构》，《政治与法律》2009年第8期；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21</w:t>
            </w:r>
            <w:r>
              <w:rPr>
                <w:rFonts w:hint="eastAsia" w:eastAsia="楷体"/>
                <w:sz w:val="22"/>
                <w:szCs w:val="22"/>
              </w:rPr>
              <w:t>．《论现代反垄断法的程序依赖性》，《现代法学》2008年第1期，人大复印报刊资料《经济法学、劳动法学》2008年第5期全文转载。</w:t>
            </w:r>
          </w:p>
          <w:p>
            <w:pPr>
              <w:spacing w:line="300" w:lineRule="auto"/>
              <w:ind w:firstLine="442" w:firstLineChars="200"/>
              <w:rPr>
                <w:rFonts w:eastAsia="楷体"/>
                <w:b/>
                <w:bCs/>
                <w:sz w:val="22"/>
                <w:szCs w:val="22"/>
              </w:rPr>
            </w:pPr>
            <w:r>
              <w:rPr>
                <w:rFonts w:hint="eastAsia" w:eastAsia="楷体"/>
                <w:b/>
                <w:bCs/>
                <w:sz w:val="22"/>
                <w:szCs w:val="22"/>
              </w:rPr>
              <w:t>（二）综合类C</w:t>
            </w:r>
            <w:r>
              <w:rPr>
                <w:rFonts w:eastAsia="楷体"/>
                <w:b/>
                <w:bCs/>
                <w:sz w:val="22"/>
                <w:szCs w:val="22"/>
              </w:rPr>
              <w:t>SSCI</w:t>
            </w:r>
            <w:r>
              <w:rPr>
                <w:rFonts w:hint="eastAsia" w:eastAsia="楷体"/>
                <w:b/>
                <w:bCs/>
                <w:sz w:val="22"/>
                <w:szCs w:val="22"/>
              </w:rPr>
              <w:t>期刊论文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22</w:t>
            </w:r>
            <w:r>
              <w:rPr>
                <w:rFonts w:hint="eastAsia" w:eastAsia="楷体"/>
                <w:sz w:val="22"/>
                <w:szCs w:val="22"/>
              </w:rPr>
              <w:t>．《垄断协议达成中的组织与帮助行为》，《中州学刊》2</w:t>
            </w:r>
            <w:r>
              <w:rPr>
                <w:rFonts w:eastAsia="楷体"/>
                <w:sz w:val="22"/>
                <w:szCs w:val="22"/>
              </w:rPr>
              <w:t>023</w:t>
            </w:r>
            <w:r>
              <w:rPr>
                <w:rFonts w:hint="eastAsia" w:eastAsia="楷体"/>
                <w:sz w:val="22"/>
                <w:szCs w:val="22"/>
              </w:rPr>
              <w:t>年第2期；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23</w:t>
            </w:r>
            <w:r>
              <w:rPr>
                <w:rFonts w:hint="eastAsia" w:eastAsia="楷体"/>
                <w:sz w:val="22"/>
                <w:szCs w:val="22"/>
              </w:rPr>
              <w:t>．《平台互联互通义务及其实现》，《探索与争鸣》2022年第3期；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24</w:t>
            </w:r>
            <w:r>
              <w:rPr>
                <w:rFonts w:hint="eastAsia" w:eastAsia="楷体"/>
                <w:sz w:val="22"/>
                <w:szCs w:val="22"/>
              </w:rPr>
              <w:t>．《互联网平台最惠国条款的反垄断法适用》，《商业经济与管理》2021年第5期；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25</w:t>
            </w:r>
            <w:r>
              <w:rPr>
                <w:rFonts w:hint="eastAsia" w:eastAsia="楷体"/>
                <w:sz w:val="22"/>
                <w:szCs w:val="22"/>
              </w:rPr>
              <w:t>．《论我国对欧盟卡特尔案件和解程序的引入与改造》，《中南大学学报（社会科学版）》2021年第4期；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26</w:t>
            </w:r>
            <w:r>
              <w:rPr>
                <w:rFonts w:hint="eastAsia" w:eastAsia="楷体"/>
                <w:sz w:val="22"/>
                <w:szCs w:val="22"/>
              </w:rPr>
              <w:t>．《紧急状态下的反垄断法实施》，《安徽大学学报（哲学社会科学版）》2021年第4期；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27</w:t>
            </w:r>
            <w:r>
              <w:rPr>
                <w:rFonts w:hint="eastAsia" w:eastAsia="楷体"/>
                <w:sz w:val="22"/>
                <w:szCs w:val="22"/>
              </w:rPr>
              <w:t>．《经济法法典化：从“综合法”走向“整合法”》，《学术界》2020年第6期，人大复印报刊资料《经济法学、劳动法学》2020年第11期全文转载。</w:t>
            </w:r>
          </w:p>
          <w:p>
            <w:pPr>
              <w:spacing w:line="300" w:lineRule="auto"/>
              <w:ind w:firstLine="442" w:firstLineChars="200"/>
              <w:rPr>
                <w:rFonts w:eastAsia="楷体_GB2312"/>
                <w:b/>
                <w:color w:val="000000"/>
                <w:sz w:val="22"/>
                <w:szCs w:val="22"/>
              </w:rPr>
            </w:pPr>
            <w:r>
              <w:rPr>
                <w:rFonts w:hint="eastAsia" w:eastAsia="楷体_GB2312"/>
                <w:b/>
                <w:color w:val="000000"/>
                <w:sz w:val="22"/>
                <w:szCs w:val="22"/>
              </w:rPr>
              <w:t>（三）其他论文：C</w:t>
            </w:r>
            <w:r>
              <w:rPr>
                <w:rFonts w:eastAsia="楷体_GB2312"/>
                <w:b/>
                <w:color w:val="000000"/>
                <w:sz w:val="22"/>
                <w:szCs w:val="22"/>
              </w:rPr>
              <w:t>SSCI</w:t>
            </w:r>
            <w:r>
              <w:rPr>
                <w:rFonts w:hint="eastAsia" w:eastAsia="楷体_GB2312"/>
                <w:b/>
                <w:color w:val="000000"/>
                <w:sz w:val="22"/>
                <w:szCs w:val="22"/>
              </w:rPr>
              <w:t>扩展版期刊、集刊及知名法学类期刊等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</w:t>
            </w:r>
            <w:r>
              <w:rPr>
                <w:rFonts w:eastAsia="楷体"/>
                <w:sz w:val="22"/>
                <w:szCs w:val="22"/>
              </w:rPr>
              <w:t>8</w:t>
            </w:r>
            <w:r>
              <w:rPr>
                <w:rFonts w:hint="eastAsia" w:eastAsia="楷体"/>
                <w:sz w:val="22"/>
                <w:szCs w:val="22"/>
              </w:rPr>
              <w:t>．《平台经济领域初创企业并购的反垄断法救济措施》</w:t>
            </w:r>
            <w:r>
              <w:rPr>
                <w:rFonts w:hint="eastAsia" w:eastAsia="楷体"/>
                <w:spacing w:val="-10"/>
                <w:sz w:val="22"/>
                <w:szCs w:val="22"/>
              </w:rPr>
              <w:t>，《地方立法研究》2</w:t>
            </w:r>
            <w:r>
              <w:rPr>
                <w:rFonts w:eastAsia="楷体"/>
                <w:spacing w:val="-10"/>
                <w:sz w:val="22"/>
                <w:szCs w:val="22"/>
              </w:rPr>
              <w:t>023</w:t>
            </w:r>
            <w:r>
              <w:rPr>
                <w:rFonts w:hint="eastAsia" w:eastAsia="楷体"/>
                <w:spacing w:val="-10"/>
                <w:sz w:val="22"/>
                <w:szCs w:val="22"/>
              </w:rPr>
              <w:t>年第1期；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</w:t>
            </w:r>
            <w:r>
              <w:rPr>
                <w:rFonts w:eastAsia="楷体"/>
                <w:sz w:val="22"/>
                <w:szCs w:val="22"/>
              </w:rPr>
              <w:t>9</w:t>
            </w:r>
            <w:r>
              <w:rPr>
                <w:rFonts w:hint="eastAsia" w:eastAsia="楷体"/>
                <w:sz w:val="22"/>
                <w:szCs w:val="22"/>
              </w:rPr>
              <w:t>．《滥用市场支配地位的性质定位与规范修正》，《中国政法大学学报》2022年第1期；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30</w:t>
            </w:r>
            <w:r>
              <w:rPr>
                <w:rFonts w:hint="eastAsia" w:eastAsia="楷体"/>
                <w:sz w:val="22"/>
                <w:szCs w:val="22"/>
              </w:rPr>
              <w:t>．《反垄断法上的竞争损害与消费者利益标准》，《南大法学》2022年第2期；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31</w:t>
            </w:r>
            <w:r>
              <w:rPr>
                <w:rFonts w:hint="eastAsia" w:eastAsia="楷体"/>
                <w:sz w:val="22"/>
                <w:szCs w:val="22"/>
              </w:rPr>
              <w:t>．《反垄断法上轴辐协议的法律性质》，《中国社会科学院研究生院学报》</w:t>
            </w:r>
            <w:r>
              <w:rPr>
                <w:rFonts w:hint="eastAsia" w:eastAsia="楷体"/>
                <w:spacing w:val="-10"/>
                <w:sz w:val="22"/>
                <w:szCs w:val="22"/>
              </w:rPr>
              <w:t>2020年第1期</w:t>
            </w:r>
            <w:r>
              <w:rPr>
                <w:rFonts w:hint="eastAsia" w:eastAsia="楷体"/>
                <w:sz w:val="22"/>
                <w:szCs w:val="22"/>
              </w:rPr>
              <w:t>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32</w:t>
            </w:r>
            <w:r>
              <w:rPr>
                <w:rFonts w:hint="eastAsia" w:eastAsia="楷体"/>
                <w:sz w:val="22"/>
                <w:szCs w:val="22"/>
              </w:rPr>
              <w:t>．《电商平台“二选一”的法律适用与分析方法》，《中国应用法学》2020年第1期；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33</w:t>
            </w:r>
            <w:r>
              <w:rPr>
                <w:rFonts w:hint="eastAsia" w:eastAsia="楷体"/>
                <w:sz w:val="22"/>
                <w:szCs w:val="22"/>
              </w:rPr>
              <w:t>．《公平竞争审查制度的实施激励》，《河北法学》2019年第9期；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34</w:t>
            </w:r>
            <w:r>
              <w:rPr>
                <w:rFonts w:hint="eastAsia" w:eastAsia="楷体"/>
                <w:sz w:val="22"/>
                <w:szCs w:val="22"/>
              </w:rPr>
              <w:t>．《“二选一”行为的反垄断法分析》，《财经法学》2018年第3期；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35</w:t>
            </w:r>
            <w:r>
              <w:rPr>
                <w:rFonts w:hint="eastAsia" w:eastAsia="楷体"/>
                <w:sz w:val="22"/>
                <w:szCs w:val="22"/>
              </w:rPr>
              <w:t>．《经济法责任制度再释：一个常识主义立场》，《甘肃政法学院学报》2016年第3期；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36</w:t>
            </w:r>
            <w:r>
              <w:rPr>
                <w:rFonts w:hint="eastAsia" w:eastAsia="楷体"/>
                <w:sz w:val="22"/>
                <w:szCs w:val="22"/>
              </w:rPr>
              <w:t>．《论常识主义经济法观——以若干重要的经济法基础理论问题为分析对象》，漆多俊主编：《经济法论丛》第27卷，法律出版社2014年版；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37</w:t>
            </w:r>
            <w:r>
              <w:rPr>
                <w:rFonts w:hint="eastAsia" w:eastAsia="楷体"/>
                <w:sz w:val="22"/>
                <w:szCs w:val="22"/>
              </w:rPr>
              <w:t>．《论互联网行业反垄断执法的谦抑性》，《交大法学》2013年第2期；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38</w:t>
            </w:r>
            <w:r>
              <w:rPr>
                <w:rFonts w:hint="eastAsia" w:eastAsia="楷体"/>
                <w:sz w:val="22"/>
                <w:szCs w:val="22"/>
              </w:rPr>
              <w:t>．《国有企业的立法定位》，《法治研究》2012年第10期；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39</w:t>
            </w:r>
            <w:r>
              <w:rPr>
                <w:rFonts w:hint="eastAsia" w:eastAsia="楷体"/>
                <w:sz w:val="22"/>
                <w:szCs w:val="22"/>
              </w:rPr>
              <w:t>．《论“促进型”经济法的运行机制》，《东方法学》2011年第5期；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40</w:t>
            </w:r>
            <w:r>
              <w:rPr>
                <w:rFonts w:hint="eastAsia" w:eastAsia="楷体"/>
                <w:sz w:val="22"/>
                <w:szCs w:val="22"/>
              </w:rPr>
              <w:t>．《经济法程序的非正式性及其公平价值》，《西部法学评论》2011年第2期，人大复印报刊资料《经济法学、劳动法学》2011年第8期全文转载；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41</w:t>
            </w:r>
            <w:r>
              <w:rPr>
                <w:rFonts w:hint="eastAsia" w:eastAsia="楷体"/>
                <w:sz w:val="22"/>
                <w:szCs w:val="22"/>
              </w:rPr>
              <w:t>．《论“促进型”经济法的优越性》，《安徽大学学报》</w:t>
            </w:r>
            <w:r>
              <w:rPr>
                <w:rFonts w:hint="eastAsia" w:eastAsia="楷体"/>
                <w:spacing w:val="-10"/>
                <w:sz w:val="22"/>
                <w:szCs w:val="22"/>
              </w:rPr>
              <w:t>（哲学社会科学版）2010年第4期；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42</w:t>
            </w:r>
            <w:r>
              <w:rPr>
                <w:rFonts w:hint="eastAsia" w:eastAsia="楷体"/>
                <w:sz w:val="22"/>
                <w:szCs w:val="22"/>
              </w:rPr>
              <w:t>．《论〈反垄断法〉中经营者的认定标准》，《东方法学》2008年第5期，人大复印报刊资料《经济法学、劳动法学》2009年第1期全文转载；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eastAsia="楷体"/>
                <w:sz w:val="22"/>
                <w:szCs w:val="22"/>
              </w:rPr>
              <w:t>43</w:t>
            </w:r>
            <w:r>
              <w:rPr>
                <w:rFonts w:hint="eastAsia" w:eastAsia="楷体"/>
                <w:sz w:val="22"/>
                <w:szCs w:val="22"/>
              </w:rPr>
              <w:t>．《反垄断执法和解中的利益平衡》，《西南政法大学学报》2007年第2期，人大复印报刊资料《经济法学、劳动法学》2007年第7期全文转载。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/>
                <w:sz w:val="22"/>
                <w:szCs w:val="22"/>
              </w:rPr>
              <w:t>三、主持课题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主持国家社科基金、司法部国家法治与法学理论研究项目、中国法学会部级法学研究课题各2项，北京市社科基金、中国博士后科学基金会项目各1项。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另有多项国家机关委托课题。</w:t>
            </w:r>
          </w:p>
          <w:p>
            <w:pPr>
              <w:spacing w:line="300" w:lineRule="auto"/>
              <w:ind w:firstLine="442" w:firstLineChars="200"/>
              <w:rPr>
                <w:rFonts w:eastAsia="楷体"/>
                <w:b/>
                <w:bCs/>
                <w:sz w:val="22"/>
                <w:szCs w:val="22"/>
              </w:rPr>
            </w:pPr>
            <w:r>
              <w:rPr>
                <w:rFonts w:hint="eastAsia" w:eastAsia="楷体"/>
                <w:b/>
                <w:bCs/>
                <w:sz w:val="22"/>
                <w:szCs w:val="22"/>
              </w:rPr>
              <w:t>（一）纵向科研项目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2022，中国法学会重点委托课题，“个人信息的反垄断法保护”，CLS(2022)ZDWT13；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2020，北京市社科基金，“反垄断法视野下的企业数据行为治理”，20FXC019；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2019，司法部项目，“反垄断法上共同市场支配地位的认定与规制”，19SFB3040；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2019，国家社科基金，“论常识主义经济法观”，19FFXB059；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2016，中国博士后科学基金会项目，“我国汽车业垄断行为的法律规制”，2016M590182；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2015，中国法学会课题，“反垄断法上的公共利益豁免制度研究”，CLS（2015）D104；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2014，司法部项目，“我国反垄断法绿色豁免制度的建构”，</w:t>
            </w:r>
            <w:r>
              <w:rPr>
                <w:rFonts w:eastAsia="楷体"/>
                <w:sz w:val="22"/>
                <w:szCs w:val="22"/>
              </w:rPr>
              <w:t>14SFB30035</w:t>
            </w:r>
            <w:r>
              <w:rPr>
                <w:rFonts w:hint="eastAsia" w:eastAsia="楷体"/>
                <w:sz w:val="22"/>
                <w:szCs w:val="22"/>
              </w:rPr>
              <w:t>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2010，国家社科基金，“反垄断法实施中的承诺制度执行难题研究”，10CFX074。</w:t>
            </w:r>
          </w:p>
          <w:p>
            <w:pPr>
              <w:spacing w:line="300" w:lineRule="auto"/>
              <w:ind w:firstLine="442" w:firstLineChars="200"/>
              <w:rPr>
                <w:rFonts w:eastAsia="楷体"/>
                <w:b/>
                <w:bCs/>
                <w:sz w:val="22"/>
                <w:szCs w:val="22"/>
              </w:rPr>
            </w:pPr>
            <w:r>
              <w:rPr>
                <w:rFonts w:hint="eastAsia" w:eastAsia="楷体"/>
                <w:b/>
                <w:bCs/>
                <w:sz w:val="22"/>
                <w:szCs w:val="22"/>
              </w:rPr>
              <w:t>（二）国家机关委托项目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2022，国家市场监管总局委托项目，“监督受托人工作情况评估及工作规则制定”；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2022，国家市场监管总局委托项目，“行业协会反垄断指南研究”；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2022，国家市场监管总局委托项目，“制止滥用行政权力排除、限制竞争行为执法约谈制度构建”；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2022，北京市市场监管局委托项目，“北京市经营者反垄断合规指引研究”；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Cs w:val="21"/>
              </w:rPr>
            </w:pPr>
            <w:r>
              <w:rPr>
                <w:rFonts w:hint="eastAsia" w:eastAsia="楷体"/>
                <w:sz w:val="22"/>
                <w:szCs w:val="22"/>
              </w:rPr>
              <w:t>2021，国家市场监管总局委托项目，“境外主要国家和地区数字经济领域反垄断重要文件翻译和汇编”。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eastAsia="楷体" w:cs="Arial"/>
                <w:b/>
                <w:kern w:val="0"/>
                <w:sz w:val="24"/>
              </w:rPr>
            </w:pPr>
            <w:r>
              <w:rPr>
                <w:rFonts w:hint="eastAsia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2011，中国法学会经济法学研究会2</w:t>
            </w:r>
            <w:r>
              <w:rPr>
                <w:rFonts w:eastAsia="楷体"/>
                <w:sz w:val="22"/>
                <w:szCs w:val="22"/>
              </w:rPr>
              <w:t>011</w:t>
            </w:r>
            <w:r>
              <w:rPr>
                <w:rFonts w:hint="eastAsia" w:eastAsia="楷体"/>
                <w:sz w:val="22"/>
                <w:szCs w:val="22"/>
              </w:rPr>
              <w:t>年年会优秀论文二等奖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2012，首届“中国青年优秀竞争法论文”优秀论文奖（未排名，中国经济法学研究会竞争法专业委员会、北京大学竞争法研究中心联合举办）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2014，安徽省高校优秀青年人才支持计划（安徽省教育厅、安徽省财政厅“高等教育振兴计划”的组成部分）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2015，安徽大学法学院青年教师教学基本功竞赛一等奖，安徽大学第六届青年教师教学基本功竞赛三等奖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2016，安徽大学教育基金会校友奖教金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</w:t>
            </w:r>
            <w:r>
              <w:rPr>
                <w:rFonts w:eastAsia="楷体"/>
                <w:sz w:val="22"/>
                <w:szCs w:val="22"/>
              </w:rPr>
              <w:t>020</w:t>
            </w:r>
            <w:r>
              <w:rPr>
                <w:rFonts w:hint="eastAsia" w:eastAsia="楷体"/>
                <w:sz w:val="22"/>
                <w:szCs w:val="22"/>
              </w:rPr>
              <w:t>，中国政法大学钱端升青年学者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2020，中国政法大学民商经济法学院秋季论坛一等奖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2020，中国政法大学第三届科学研究突出贡献奖（年度青年奖）</w:t>
            </w:r>
          </w:p>
          <w:p>
            <w:pPr>
              <w:spacing w:line="300" w:lineRule="auto"/>
              <w:ind w:firstLine="440" w:firstLineChars="200"/>
              <w:rPr>
                <w:rFonts w:eastAsia="楷体"/>
                <w:sz w:val="22"/>
                <w:szCs w:val="22"/>
              </w:rPr>
            </w:pPr>
            <w:r>
              <w:rPr>
                <w:rFonts w:hint="eastAsia" w:eastAsia="楷体"/>
                <w:sz w:val="22"/>
                <w:szCs w:val="22"/>
              </w:rPr>
              <w:t>2021，北京市高校优秀本科毕业论文指导教师</w:t>
            </w:r>
          </w:p>
          <w:p>
            <w:pPr>
              <w:spacing w:line="300" w:lineRule="auto"/>
              <w:ind w:firstLine="420" w:firstLineChars="200"/>
              <w:rPr>
                <w:rFonts w:eastAsia="仿宋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eastAsia="仿宋"/>
                <w:szCs w:val="21"/>
              </w:rPr>
            </w:pPr>
          </w:p>
        </w:tc>
      </w:tr>
    </w:tbl>
    <w:p>
      <w:bookmarkStart w:id="3" w:name="_GoBack"/>
      <w:bookmarkEnd w:id="3"/>
    </w:p>
    <w:p/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WNjNDYyYTNmOTgxMGY2OWQ2MmJlMDMyM2M5ZmIifQ=="/>
  </w:docVars>
  <w:rsids>
    <w:rsidRoot w:val="AFFF087D"/>
    <w:rsid w:val="00002201"/>
    <w:rsid w:val="00006676"/>
    <w:rsid w:val="00062CC0"/>
    <w:rsid w:val="00070894"/>
    <w:rsid w:val="00074EC2"/>
    <w:rsid w:val="000753A6"/>
    <w:rsid w:val="000757D4"/>
    <w:rsid w:val="000956DA"/>
    <w:rsid w:val="000975FB"/>
    <w:rsid w:val="000A4C7D"/>
    <w:rsid w:val="000A6AB3"/>
    <w:rsid w:val="000D0E42"/>
    <w:rsid w:val="000D22B9"/>
    <w:rsid w:val="000E5E93"/>
    <w:rsid w:val="000F31A0"/>
    <w:rsid w:val="000F41AF"/>
    <w:rsid w:val="000F48C2"/>
    <w:rsid w:val="001217C5"/>
    <w:rsid w:val="0012428E"/>
    <w:rsid w:val="0013344F"/>
    <w:rsid w:val="001462EC"/>
    <w:rsid w:val="0015191C"/>
    <w:rsid w:val="00155210"/>
    <w:rsid w:val="0015602D"/>
    <w:rsid w:val="00167F78"/>
    <w:rsid w:val="00177571"/>
    <w:rsid w:val="00177A01"/>
    <w:rsid w:val="0018082F"/>
    <w:rsid w:val="001843D5"/>
    <w:rsid w:val="00185E44"/>
    <w:rsid w:val="00193931"/>
    <w:rsid w:val="001A60D2"/>
    <w:rsid w:val="001C1113"/>
    <w:rsid w:val="001D0B61"/>
    <w:rsid w:val="001D1580"/>
    <w:rsid w:val="001D3613"/>
    <w:rsid w:val="001D4A9D"/>
    <w:rsid w:val="001D60F4"/>
    <w:rsid w:val="001D6172"/>
    <w:rsid w:val="001D6799"/>
    <w:rsid w:val="001E4030"/>
    <w:rsid w:val="001E4ACE"/>
    <w:rsid w:val="001E7F2E"/>
    <w:rsid w:val="001F2177"/>
    <w:rsid w:val="001F5D6E"/>
    <w:rsid w:val="001F5FE0"/>
    <w:rsid w:val="002004B9"/>
    <w:rsid w:val="00215365"/>
    <w:rsid w:val="002307CA"/>
    <w:rsid w:val="00242B99"/>
    <w:rsid w:val="00243D4F"/>
    <w:rsid w:val="00247B9D"/>
    <w:rsid w:val="00262AB5"/>
    <w:rsid w:val="00264F1F"/>
    <w:rsid w:val="00280011"/>
    <w:rsid w:val="00284AC2"/>
    <w:rsid w:val="00287695"/>
    <w:rsid w:val="0029407D"/>
    <w:rsid w:val="002A0E42"/>
    <w:rsid w:val="002A3F81"/>
    <w:rsid w:val="002B7880"/>
    <w:rsid w:val="002E084A"/>
    <w:rsid w:val="002E1819"/>
    <w:rsid w:val="002F5E31"/>
    <w:rsid w:val="002F6CBF"/>
    <w:rsid w:val="00302B37"/>
    <w:rsid w:val="0032354D"/>
    <w:rsid w:val="003348AB"/>
    <w:rsid w:val="00357B0B"/>
    <w:rsid w:val="00366036"/>
    <w:rsid w:val="00367387"/>
    <w:rsid w:val="00373AE2"/>
    <w:rsid w:val="003C6EBC"/>
    <w:rsid w:val="003D181C"/>
    <w:rsid w:val="003D2608"/>
    <w:rsid w:val="003D4F5C"/>
    <w:rsid w:val="003E6276"/>
    <w:rsid w:val="003F5389"/>
    <w:rsid w:val="00417EA2"/>
    <w:rsid w:val="004202D7"/>
    <w:rsid w:val="0042669D"/>
    <w:rsid w:val="00434B11"/>
    <w:rsid w:val="00437DEE"/>
    <w:rsid w:val="00444220"/>
    <w:rsid w:val="00450F48"/>
    <w:rsid w:val="00464D9A"/>
    <w:rsid w:val="00473E85"/>
    <w:rsid w:val="00476AAA"/>
    <w:rsid w:val="00476E4A"/>
    <w:rsid w:val="0048697A"/>
    <w:rsid w:val="00496146"/>
    <w:rsid w:val="004A2C03"/>
    <w:rsid w:val="004B7906"/>
    <w:rsid w:val="004C1908"/>
    <w:rsid w:val="004D6CEC"/>
    <w:rsid w:val="004E580F"/>
    <w:rsid w:val="004E5E8F"/>
    <w:rsid w:val="004F07AF"/>
    <w:rsid w:val="005231B9"/>
    <w:rsid w:val="0052358C"/>
    <w:rsid w:val="0053095F"/>
    <w:rsid w:val="00532623"/>
    <w:rsid w:val="00532C75"/>
    <w:rsid w:val="0053586F"/>
    <w:rsid w:val="00535D93"/>
    <w:rsid w:val="00545206"/>
    <w:rsid w:val="00554B64"/>
    <w:rsid w:val="00562107"/>
    <w:rsid w:val="005657C4"/>
    <w:rsid w:val="00567E10"/>
    <w:rsid w:val="005766EF"/>
    <w:rsid w:val="00596C21"/>
    <w:rsid w:val="005A09BC"/>
    <w:rsid w:val="005C5511"/>
    <w:rsid w:val="005C5987"/>
    <w:rsid w:val="005D306A"/>
    <w:rsid w:val="005D72CB"/>
    <w:rsid w:val="005E4544"/>
    <w:rsid w:val="005F2881"/>
    <w:rsid w:val="005F479F"/>
    <w:rsid w:val="005F56CB"/>
    <w:rsid w:val="0060357E"/>
    <w:rsid w:val="006035A1"/>
    <w:rsid w:val="00607418"/>
    <w:rsid w:val="00630719"/>
    <w:rsid w:val="0063342B"/>
    <w:rsid w:val="00642619"/>
    <w:rsid w:val="00642D66"/>
    <w:rsid w:val="006436C9"/>
    <w:rsid w:val="00664A4F"/>
    <w:rsid w:val="0066545F"/>
    <w:rsid w:val="00665A96"/>
    <w:rsid w:val="00676EFD"/>
    <w:rsid w:val="006832A3"/>
    <w:rsid w:val="00684A62"/>
    <w:rsid w:val="00686ECF"/>
    <w:rsid w:val="00693F0C"/>
    <w:rsid w:val="006A6E52"/>
    <w:rsid w:val="006D3663"/>
    <w:rsid w:val="006D3E7B"/>
    <w:rsid w:val="006F33DE"/>
    <w:rsid w:val="007326F4"/>
    <w:rsid w:val="007333C7"/>
    <w:rsid w:val="00737D48"/>
    <w:rsid w:val="0075171F"/>
    <w:rsid w:val="00755AD8"/>
    <w:rsid w:val="00757AA5"/>
    <w:rsid w:val="00761CFE"/>
    <w:rsid w:val="007642F2"/>
    <w:rsid w:val="007801FE"/>
    <w:rsid w:val="00781E2D"/>
    <w:rsid w:val="007A68FD"/>
    <w:rsid w:val="007B1733"/>
    <w:rsid w:val="007D3595"/>
    <w:rsid w:val="007D36FA"/>
    <w:rsid w:val="007E7327"/>
    <w:rsid w:val="007F1A70"/>
    <w:rsid w:val="007F2335"/>
    <w:rsid w:val="007F5F99"/>
    <w:rsid w:val="008020F6"/>
    <w:rsid w:val="00805C2D"/>
    <w:rsid w:val="00812045"/>
    <w:rsid w:val="0081589A"/>
    <w:rsid w:val="008213CF"/>
    <w:rsid w:val="00823D13"/>
    <w:rsid w:val="0082535A"/>
    <w:rsid w:val="0082609F"/>
    <w:rsid w:val="0084041E"/>
    <w:rsid w:val="0084126B"/>
    <w:rsid w:val="00851051"/>
    <w:rsid w:val="00862962"/>
    <w:rsid w:val="00865834"/>
    <w:rsid w:val="00875A67"/>
    <w:rsid w:val="008766F3"/>
    <w:rsid w:val="00880281"/>
    <w:rsid w:val="008A0276"/>
    <w:rsid w:val="008A0A59"/>
    <w:rsid w:val="008A314A"/>
    <w:rsid w:val="008A4CE7"/>
    <w:rsid w:val="008B6C44"/>
    <w:rsid w:val="008C641D"/>
    <w:rsid w:val="008D49F7"/>
    <w:rsid w:val="008D7104"/>
    <w:rsid w:val="008E0BA9"/>
    <w:rsid w:val="008E2830"/>
    <w:rsid w:val="008E6763"/>
    <w:rsid w:val="008E7264"/>
    <w:rsid w:val="008F051A"/>
    <w:rsid w:val="008F6FB0"/>
    <w:rsid w:val="009179F6"/>
    <w:rsid w:val="0092031E"/>
    <w:rsid w:val="0092168A"/>
    <w:rsid w:val="009226AB"/>
    <w:rsid w:val="009439BB"/>
    <w:rsid w:val="0095292F"/>
    <w:rsid w:val="00952B38"/>
    <w:rsid w:val="00952B86"/>
    <w:rsid w:val="00962AF9"/>
    <w:rsid w:val="00972C97"/>
    <w:rsid w:val="009867BF"/>
    <w:rsid w:val="009969FD"/>
    <w:rsid w:val="00996FE9"/>
    <w:rsid w:val="00997D6A"/>
    <w:rsid w:val="009B4670"/>
    <w:rsid w:val="009C1FC8"/>
    <w:rsid w:val="009D02A3"/>
    <w:rsid w:val="009D2CCA"/>
    <w:rsid w:val="009F1138"/>
    <w:rsid w:val="00A019A4"/>
    <w:rsid w:val="00A01D9D"/>
    <w:rsid w:val="00A02D41"/>
    <w:rsid w:val="00A077D2"/>
    <w:rsid w:val="00A330D0"/>
    <w:rsid w:val="00A50D83"/>
    <w:rsid w:val="00A52355"/>
    <w:rsid w:val="00A55C17"/>
    <w:rsid w:val="00A6265C"/>
    <w:rsid w:val="00A7186A"/>
    <w:rsid w:val="00A7262C"/>
    <w:rsid w:val="00A778ED"/>
    <w:rsid w:val="00A94CCC"/>
    <w:rsid w:val="00A9646A"/>
    <w:rsid w:val="00AA2643"/>
    <w:rsid w:val="00AA2C89"/>
    <w:rsid w:val="00AA2FFF"/>
    <w:rsid w:val="00AB1520"/>
    <w:rsid w:val="00AD3815"/>
    <w:rsid w:val="00AE088D"/>
    <w:rsid w:val="00AE1A7B"/>
    <w:rsid w:val="00AE1E65"/>
    <w:rsid w:val="00AF5025"/>
    <w:rsid w:val="00AF72A2"/>
    <w:rsid w:val="00B05740"/>
    <w:rsid w:val="00B079B7"/>
    <w:rsid w:val="00B10E40"/>
    <w:rsid w:val="00B40188"/>
    <w:rsid w:val="00B46CF7"/>
    <w:rsid w:val="00B530A9"/>
    <w:rsid w:val="00B54F03"/>
    <w:rsid w:val="00B568A7"/>
    <w:rsid w:val="00B574B2"/>
    <w:rsid w:val="00B757FD"/>
    <w:rsid w:val="00B8454D"/>
    <w:rsid w:val="00B85C75"/>
    <w:rsid w:val="00B86826"/>
    <w:rsid w:val="00BA0F43"/>
    <w:rsid w:val="00BA2BD0"/>
    <w:rsid w:val="00BA4078"/>
    <w:rsid w:val="00BB7291"/>
    <w:rsid w:val="00BC35FE"/>
    <w:rsid w:val="00BC6CA2"/>
    <w:rsid w:val="00BD0AF8"/>
    <w:rsid w:val="00BD151D"/>
    <w:rsid w:val="00BD6199"/>
    <w:rsid w:val="00BE32A5"/>
    <w:rsid w:val="00BE6C1C"/>
    <w:rsid w:val="00BF44C6"/>
    <w:rsid w:val="00C035FD"/>
    <w:rsid w:val="00C12188"/>
    <w:rsid w:val="00C15890"/>
    <w:rsid w:val="00C17E7E"/>
    <w:rsid w:val="00C3002A"/>
    <w:rsid w:val="00C4103C"/>
    <w:rsid w:val="00C4273A"/>
    <w:rsid w:val="00C43D22"/>
    <w:rsid w:val="00C478DC"/>
    <w:rsid w:val="00C53C37"/>
    <w:rsid w:val="00C6029B"/>
    <w:rsid w:val="00C8258E"/>
    <w:rsid w:val="00C90E93"/>
    <w:rsid w:val="00C9636E"/>
    <w:rsid w:val="00C97744"/>
    <w:rsid w:val="00CA17CE"/>
    <w:rsid w:val="00CB1257"/>
    <w:rsid w:val="00CC2C08"/>
    <w:rsid w:val="00CD0257"/>
    <w:rsid w:val="00CD2251"/>
    <w:rsid w:val="00CE2A91"/>
    <w:rsid w:val="00CF0AF7"/>
    <w:rsid w:val="00CF1263"/>
    <w:rsid w:val="00CF4B1D"/>
    <w:rsid w:val="00D0533D"/>
    <w:rsid w:val="00D06DE9"/>
    <w:rsid w:val="00D13628"/>
    <w:rsid w:val="00D16CE7"/>
    <w:rsid w:val="00D332D2"/>
    <w:rsid w:val="00D37E4A"/>
    <w:rsid w:val="00D45502"/>
    <w:rsid w:val="00D614C1"/>
    <w:rsid w:val="00D7287E"/>
    <w:rsid w:val="00D74393"/>
    <w:rsid w:val="00D85055"/>
    <w:rsid w:val="00D87F69"/>
    <w:rsid w:val="00DD6EE8"/>
    <w:rsid w:val="00DE05F1"/>
    <w:rsid w:val="00DE1CB1"/>
    <w:rsid w:val="00DF69C7"/>
    <w:rsid w:val="00E0435C"/>
    <w:rsid w:val="00E059FE"/>
    <w:rsid w:val="00E07524"/>
    <w:rsid w:val="00E13564"/>
    <w:rsid w:val="00E160B0"/>
    <w:rsid w:val="00E17830"/>
    <w:rsid w:val="00E33D1A"/>
    <w:rsid w:val="00E40C28"/>
    <w:rsid w:val="00E44393"/>
    <w:rsid w:val="00E50607"/>
    <w:rsid w:val="00E55439"/>
    <w:rsid w:val="00E604C0"/>
    <w:rsid w:val="00E62A0C"/>
    <w:rsid w:val="00E72306"/>
    <w:rsid w:val="00E7772D"/>
    <w:rsid w:val="00E901D8"/>
    <w:rsid w:val="00E91C36"/>
    <w:rsid w:val="00E92AB3"/>
    <w:rsid w:val="00EA2744"/>
    <w:rsid w:val="00EA2D2C"/>
    <w:rsid w:val="00ED5AFC"/>
    <w:rsid w:val="00ED7553"/>
    <w:rsid w:val="00EE2C38"/>
    <w:rsid w:val="00EE2D0C"/>
    <w:rsid w:val="00EE422A"/>
    <w:rsid w:val="00EE699A"/>
    <w:rsid w:val="00F00EA7"/>
    <w:rsid w:val="00F033BA"/>
    <w:rsid w:val="00F1748E"/>
    <w:rsid w:val="00F23F04"/>
    <w:rsid w:val="00F36104"/>
    <w:rsid w:val="00F41A27"/>
    <w:rsid w:val="00F41D85"/>
    <w:rsid w:val="00F4207F"/>
    <w:rsid w:val="00F64CBB"/>
    <w:rsid w:val="00F74FC4"/>
    <w:rsid w:val="00F83055"/>
    <w:rsid w:val="00F93305"/>
    <w:rsid w:val="00F935D0"/>
    <w:rsid w:val="00F976B8"/>
    <w:rsid w:val="00FA654A"/>
    <w:rsid w:val="00FB06D9"/>
    <w:rsid w:val="00FB3E98"/>
    <w:rsid w:val="00FB6DD9"/>
    <w:rsid w:val="00FC1E6A"/>
    <w:rsid w:val="00FC1EF1"/>
    <w:rsid w:val="00FC51AF"/>
    <w:rsid w:val="00FD2F9E"/>
    <w:rsid w:val="00FE540E"/>
    <w:rsid w:val="00FE573C"/>
    <w:rsid w:val="00FF17A4"/>
    <w:rsid w:val="00FF18D5"/>
    <w:rsid w:val="00FF5482"/>
    <w:rsid w:val="03884E11"/>
    <w:rsid w:val="1EBD9178"/>
    <w:rsid w:val="2CEFB339"/>
    <w:rsid w:val="2EFBBC48"/>
    <w:rsid w:val="3B9D0C2F"/>
    <w:rsid w:val="3BBF1B45"/>
    <w:rsid w:val="3DFF8C80"/>
    <w:rsid w:val="3FAC72FC"/>
    <w:rsid w:val="3FDF6C0E"/>
    <w:rsid w:val="3FE95ABC"/>
    <w:rsid w:val="56EEFD7E"/>
    <w:rsid w:val="57B74E1B"/>
    <w:rsid w:val="591FD8F5"/>
    <w:rsid w:val="5AAC40BB"/>
    <w:rsid w:val="5DD32290"/>
    <w:rsid w:val="5DF46E1D"/>
    <w:rsid w:val="5DFEE7D4"/>
    <w:rsid w:val="5F3743E3"/>
    <w:rsid w:val="5FBC2178"/>
    <w:rsid w:val="6F9B4CF3"/>
    <w:rsid w:val="6FAF0381"/>
    <w:rsid w:val="6FFF2EC6"/>
    <w:rsid w:val="7A8FFAC6"/>
    <w:rsid w:val="7AFB59A5"/>
    <w:rsid w:val="7BBFF842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BCF30E8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标题 2 字符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1 字符"/>
    <w:basedOn w:val="9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6980</Words>
  <Characters>7715</Characters>
  <Lines>77</Lines>
  <Paragraphs>21</Paragraphs>
  <TotalTime>3</TotalTime>
  <ScaleCrop>false</ScaleCrop>
  <LinksUpToDate>false</LinksUpToDate>
  <CharactersWithSpaces>7817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2023-03-17T01:19:00Z</dcterms:created>
  <dc:creator>fxhuser</dc:creator>
  <cp:lastModifiedBy>执牛耳</cp:lastModifiedBy>
  <cp:lastPrinted>2023-03-08T22:45:00Z</cp:lastPrinted>
  <dcterms:modified xsi:type="dcterms:W3CDTF">2023-04-27T09:12:32Z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DFD8C4F1097F4B55B47DB406E3F640AA_12</vt:lpwstr>
  </property>
</Properties>
</file>