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40" w:lineRule="exact"/>
        <w:rPr>
          <w:rFonts w:ascii="仿宋_GB2312" w:hAnsi="宋体" w:eastAsia="仿宋"/>
          <w:bCs/>
          <w:color w:val="000000"/>
          <w:kern w:val="0"/>
          <w:sz w:val="32"/>
          <w:szCs w:val="32"/>
        </w:rPr>
      </w:pPr>
      <w:r>
        <w:rPr>
          <w:rFonts w:hint="eastAsia" w:ascii="仿宋" w:hAnsi="仿宋" w:eastAsia="仿宋" w:cs="Arial"/>
          <w:kern w:val="0"/>
          <w:sz w:val="32"/>
          <w:szCs w:val="32"/>
        </w:rPr>
        <w:t>附件2</w:t>
      </w:r>
    </w:p>
    <w:p>
      <w:pPr>
        <w:jc w:val="center"/>
        <w:rPr>
          <w:rFonts w:ascii="宋体" w:hAnsi="宋体"/>
          <w:b/>
          <w:bCs/>
          <w:sz w:val="32"/>
          <w:szCs w:val="32"/>
        </w:rPr>
      </w:pPr>
    </w:p>
    <w:p>
      <w:pPr>
        <w:jc w:val="center"/>
      </w:pPr>
    </w:p>
    <w:p>
      <w:pPr>
        <w:jc w:val="center"/>
      </w:pPr>
      <w:r>
        <w:drawing>
          <wp:inline distT="0" distB="0" distL="0" distR="0">
            <wp:extent cx="1483995" cy="1428750"/>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83995" cy="1428750"/>
                    </a:xfrm>
                    <a:prstGeom prst="rect">
                      <a:avLst/>
                    </a:prstGeom>
                    <a:noFill/>
                    <a:ln>
                      <a:noFill/>
                    </a:ln>
                  </pic:spPr>
                </pic:pic>
              </a:graphicData>
            </a:graphic>
          </wp:inline>
        </w:drawing>
      </w:r>
    </w:p>
    <w:p/>
    <w:p/>
    <w:p/>
    <w:p>
      <w:pPr>
        <w:spacing w:line="700" w:lineRule="exact"/>
        <w:jc w:val="center"/>
        <w:rPr>
          <w:rFonts w:ascii="方正小标宋_GBK" w:eastAsia="方正小标宋_GBK"/>
          <w:b/>
          <w:bCs/>
          <w:sz w:val="44"/>
          <w:szCs w:val="44"/>
        </w:rPr>
      </w:pPr>
      <w:r>
        <w:rPr>
          <w:rFonts w:hint="eastAsia" w:ascii="方正小标宋_GBK" w:eastAsia="方正小标宋_GBK"/>
          <w:b/>
          <w:bCs/>
          <w:sz w:val="44"/>
          <w:szCs w:val="44"/>
        </w:rPr>
        <w:t>第十届“全国杰出青年法学家”</w:t>
      </w:r>
    </w:p>
    <w:p>
      <w:pPr>
        <w:spacing w:line="700" w:lineRule="exact"/>
        <w:jc w:val="center"/>
        <w:rPr>
          <w:rFonts w:ascii="方正小标宋_GBK" w:eastAsia="方正小标宋_GBK"/>
          <w:b/>
          <w:bCs/>
          <w:sz w:val="44"/>
          <w:szCs w:val="44"/>
        </w:rPr>
      </w:pPr>
      <w:r>
        <w:rPr>
          <w:rFonts w:hint="eastAsia" w:ascii="方正小标宋_GBK" w:eastAsia="方正小标宋_GBK"/>
          <w:b/>
          <w:bCs/>
          <w:sz w:val="44"/>
          <w:szCs w:val="44"/>
        </w:rPr>
        <w:t>推荐表</w:t>
      </w:r>
    </w:p>
    <w:p/>
    <w:p/>
    <w:p/>
    <w:p/>
    <w:p/>
    <w:p/>
    <w:p>
      <w:pPr>
        <w:snapToGrid w:val="0"/>
        <w:rPr>
          <w:sz w:val="28"/>
          <w:szCs w:val="28"/>
        </w:rPr>
      </w:pPr>
    </w:p>
    <w:p>
      <w:pPr>
        <w:snapToGrid w:val="0"/>
        <w:rPr>
          <w:sz w:val="28"/>
          <w:szCs w:val="28"/>
        </w:rPr>
      </w:pPr>
    </w:p>
    <w:p>
      <w:pPr>
        <w:snapToGrid w:val="0"/>
        <w:rPr>
          <w:sz w:val="28"/>
          <w:szCs w:val="28"/>
        </w:rPr>
      </w:pPr>
    </w:p>
    <w:p>
      <w:pPr>
        <w:snapToGrid w:val="0"/>
        <w:ind w:firstLine="643" w:firstLineChars="200"/>
        <w:rPr>
          <w:rFonts w:eastAsia="仿宋_GB2312"/>
          <w:b/>
          <w:bCs/>
          <w:sz w:val="32"/>
          <w:szCs w:val="32"/>
          <w:u w:val="single"/>
        </w:rPr>
      </w:pPr>
      <w:r>
        <w:rPr>
          <w:rFonts w:hint="eastAsia" w:eastAsia="仿宋_GB2312"/>
          <w:b/>
          <w:bCs/>
          <w:sz w:val="32"/>
          <w:szCs w:val="32"/>
        </w:rPr>
        <w:t>姓    名</w:t>
      </w:r>
      <w:r>
        <w:rPr>
          <w:rFonts w:hint="eastAsia" w:eastAsia="仿宋_GB2312"/>
          <w:b/>
          <w:bCs/>
          <w:sz w:val="32"/>
          <w:szCs w:val="32"/>
          <w:u w:val="single"/>
        </w:rPr>
        <w:t xml:space="preserve">               陈兵                </w:t>
      </w:r>
    </w:p>
    <w:p>
      <w:pPr>
        <w:snapToGrid w:val="0"/>
        <w:rPr>
          <w:rFonts w:eastAsia="仿宋_GB2312"/>
          <w:b/>
          <w:bCs/>
          <w:sz w:val="28"/>
          <w:szCs w:val="28"/>
          <w:u w:val="single"/>
        </w:rPr>
      </w:pPr>
    </w:p>
    <w:p>
      <w:pPr>
        <w:snapToGrid w:val="0"/>
        <w:ind w:firstLine="643" w:firstLineChars="200"/>
        <w:rPr>
          <w:rFonts w:eastAsia="仿宋_GB2312"/>
          <w:b/>
          <w:bCs/>
          <w:sz w:val="32"/>
          <w:szCs w:val="32"/>
          <w:u w:val="single"/>
        </w:rPr>
      </w:pPr>
      <w:r>
        <w:rPr>
          <w:rFonts w:hint="eastAsia" w:eastAsia="仿宋_GB2312"/>
          <w:b/>
          <w:bCs/>
          <w:sz w:val="32"/>
          <w:szCs w:val="32"/>
        </w:rPr>
        <w:t>工作单位</w:t>
      </w:r>
      <w:r>
        <w:rPr>
          <w:rFonts w:hint="eastAsia" w:eastAsia="仿宋_GB2312"/>
          <w:b/>
          <w:bCs/>
          <w:sz w:val="32"/>
          <w:szCs w:val="32"/>
          <w:u w:val="single"/>
        </w:rPr>
        <w:t xml:space="preserve">         </w:t>
      </w:r>
      <w:r>
        <w:rPr>
          <w:rFonts w:eastAsia="仿宋_GB2312"/>
          <w:b/>
          <w:bCs/>
          <w:sz w:val="32"/>
          <w:szCs w:val="32"/>
          <w:u w:val="single"/>
        </w:rPr>
        <w:t xml:space="preserve"> </w:t>
      </w:r>
      <w:r>
        <w:rPr>
          <w:rFonts w:hint="eastAsia" w:eastAsia="仿宋_GB2312"/>
          <w:b/>
          <w:bCs/>
          <w:sz w:val="32"/>
          <w:szCs w:val="32"/>
          <w:u w:val="single"/>
        </w:rPr>
        <w:t xml:space="preserve">南开大学法学院   </w:t>
      </w:r>
      <w:r>
        <w:rPr>
          <w:rFonts w:eastAsia="仿宋_GB2312"/>
          <w:b/>
          <w:bCs/>
          <w:sz w:val="32"/>
          <w:szCs w:val="32"/>
          <w:u w:val="single"/>
        </w:rPr>
        <w:t xml:space="preserve">   </w:t>
      </w:r>
      <w:r>
        <w:rPr>
          <w:rFonts w:hint="eastAsia" w:eastAsia="仿宋_GB2312"/>
          <w:b/>
          <w:bCs/>
          <w:sz w:val="32"/>
          <w:szCs w:val="32"/>
          <w:u w:val="single"/>
        </w:rPr>
        <w:t xml:space="preserve">     </w:t>
      </w:r>
    </w:p>
    <w:p>
      <w:pPr>
        <w:snapToGrid w:val="0"/>
        <w:rPr>
          <w:rFonts w:eastAsia="仿宋_GB2312"/>
          <w:b/>
          <w:bCs/>
          <w:sz w:val="28"/>
          <w:szCs w:val="28"/>
          <w:u w:val="single"/>
        </w:rPr>
      </w:pPr>
    </w:p>
    <w:p>
      <w:pPr>
        <w:snapToGrid w:val="0"/>
        <w:ind w:firstLine="643" w:firstLineChars="200"/>
        <w:rPr>
          <w:rFonts w:eastAsia="仿宋_GB2312"/>
          <w:b/>
          <w:bCs/>
          <w:sz w:val="32"/>
          <w:szCs w:val="32"/>
          <w:u w:val="single"/>
        </w:rPr>
      </w:pPr>
      <w:r>
        <w:rPr>
          <w:rFonts w:hint="eastAsia" w:eastAsia="仿宋_GB2312"/>
          <w:b/>
          <w:bCs/>
          <w:sz w:val="32"/>
          <w:szCs w:val="32"/>
        </w:rPr>
        <w:t>推荐单位</w:t>
      </w:r>
      <w:r>
        <w:rPr>
          <w:rFonts w:hint="eastAsia" w:eastAsia="仿宋_GB2312"/>
          <w:b/>
          <w:bCs/>
          <w:sz w:val="32"/>
          <w:szCs w:val="32"/>
          <w:u w:val="single"/>
        </w:rPr>
        <w:t xml:space="preserve">          南开大学法学院</w:t>
      </w:r>
      <w:r>
        <w:rPr>
          <w:rFonts w:hint="default" w:eastAsia="仿宋_GB2312"/>
          <w:b/>
          <w:bCs/>
          <w:sz w:val="32"/>
          <w:szCs w:val="32"/>
          <w:u w:val="single"/>
        </w:rPr>
        <w:t xml:space="preserve">      </w:t>
      </w:r>
      <w:r>
        <w:rPr>
          <w:rFonts w:hint="eastAsia" w:eastAsia="仿宋_GB2312"/>
          <w:b/>
          <w:bCs/>
          <w:sz w:val="32"/>
          <w:szCs w:val="32"/>
          <w:u w:val="single"/>
        </w:rPr>
        <w:t xml:space="preserve"> </w:t>
      </w:r>
      <w:r>
        <w:rPr>
          <w:rFonts w:eastAsia="仿宋_GB2312"/>
          <w:b/>
          <w:bCs/>
          <w:sz w:val="32"/>
          <w:szCs w:val="32"/>
          <w:u w:val="single"/>
        </w:rPr>
        <w:t xml:space="preserve">  </w:t>
      </w:r>
      <w:r>
        <w:rPr>
          <w:rFonts w:hint="eastAsia" w:eastAsia="仿宋_GB2312"/>
          <w:b/>
          <w:bCs/>
          <w:sz w:val="32"/>
          <w:szCs w:val="32"/>
          <w:u w:val="single"/>
        </w:rPr>
        <w:t xml:space="preserve">  </w:t>
      </w:r>
    </w:p>
    <w:p>
      <w:pPr>
        <w:snapToGrid w:val="0"/>
        <w:rPr>
          <w:rFonts w:eastAsia="仿宋_GB2312"/>
          <w:b/>
          <w:bCs/>
          <w:szCs w:val="21"/>
          <w:u w:val="single"/>
        </w:rPr>
      </w:pPr>
    </w:p>
    <w:p>
      <w:pPr>
        <w:snapToGrid w:val="0"/>
        <w:rPr>
          <w:rFonts w:eastAsia="仿宋_GB2312"/>
          <w:b/>
          <w:bCs/>
          <w:szCs w:val="21"/>
          <w:u w:val="single"/>
        </w:rPr>
      </w:pPr>
    </w:p>
    <w:p>
      <w:pPr>
        <w:snapToGrid w:val="0"/>
        <w:rPr>
          <w:rFonts w:eastAsia="仿宋_GB2312"/>
          <w:b/>
          <w:bCs/>
          <w:szCs w:val="21"/>
          <w:u w:val="single"/>
        </w:rPr>
      </w:pPr>
    </w:p>
    <w:p>
      <w:pPr>
        <w:snapToGrid w:val="0"/>
        <w:rPr>
          <w:rFonts w:eastAsia="仿宋_GB2312"/>
          <w:b/>
          <w:bCs/>
          <w:szCs w:val="21"/>
          <w:u w:val="single"/>
        </w:rPr>
      </w:pPr>
    </w:p>
    <w:p>
      <w:pPr>
        <w:snapToGrid w:val="0"/>
        <w:rPr>
          <w:rFonts w:eastAsia="仿宋_GB2312"/>
          <w:b/>
          <w:bCs/>
          <w:szCs w:val="21"/>
          <w:u w:val="single"/>
        </w:rPr>
      </w:pPr>
    </w:p>
    <w:p>
      <w:pPr>
        <w:ind w:firstLine="3360" w:firstLineChars="1050"/>
        <w:rPr>
          <w:rFonts w:ascii="宋体" w:hAnsi="Arial Narrow"/>
          <w:sz w:val="32"/>
          <w:szCs w:val="32"/>
        </w:rPr>
      </w:pPr>
      <w:r>
        <w:rPr>
          <w:rFonts w:hint="eastAsia" w:ascii="宋体" w:hAnsi="Arial Narrow"/>
          <w:sz w:val="32"/>
          <w:szCs w:val="32"/>
        </w:rPr>
        <w:t>中国法学会</w:t>
      </w:r>
    </w:p>
    <w:p>
      <w:pPr>
        <w:snapToGrid w:val="0"/>
        <w:jc w:val="center"/>
        <w:rPr>
          <w:rFonts w:eastAsia="仿宋_GB2312"/>
          <w:b/>
          <w:bCs/>
          <w:szCs w:val="21"/>
          <w:u w:val="single"/>
        </w:rPr>
      </w:pPr>
      <w:r>
        <w:rPr>
          <w:rFonts w:hint="eastAsia" w:ascii="宋体" w:hAnsi="Arial Narrow"/>
          <w:sz w:val="32"/>
          <w:szCs w:val="32"/>
        </w:rPr>
        <w:t>202</w:t>
      </w:r>
      <w:r>
        <w:rPr>
          <w:rFonts w:ascii="宋体" w:hAnsi="Arial Narrow"/>
          <w:sz w:val="32"/>
          <w:szCs w:val="32"/>
          <w:lang w:val="en"/>
        </w:rPr>
        <w:t>2</w:t>
      </w:r>
      <w:r>
        <w:rPr>
          <w:rFonts w:hint="eastAsia" w:ascii="宋体" w:hAnsi="Arial Narrow"/>
          <w:sz w:val="32"/>
          <w:szCs w:val="32"/>
        </w:rPr>
        <w:t>年</w:t>
      </w:r>
      <w:r>
        <w:rPr>
          <w:rFonts w:ascii="宋体" w:hAnsi="Arial Narrow"/>
          <w:sz w:val="32"/>
          <w:szCs w:val="32"/>
          <w:lang w:val="en"/>
        </w:rPr>
        <w:t>12</w:t>
      </w:r>
      <w:r>
        <w:rPr>
          <w:rFonts w:hint="eastAsia" w:ascii="宋体" w:hAnsi="Arial Narrow"/>
          <w:sz w:val="32"/>
          <w:szCs w:val="32"/>
        </w:rPr>
        <w:t>月印制</w:t>
      </w:r>
    </w:p>
    <w:p>
      <w:pPr>
        <w:snapToGrid w:val="0"/>
        <w:rPr>
          <w:rFonts w:eastAsia="仿宋_GB2312"/>
          <w:szCs w:val="21"/>
        </w:rPr>
      </w:pPr>
    </w:p>
    <w:p>
      <w:pPr>
        <w:spacing w:line="440" w:lineRule="exact"/>
        <w:jc w:val="center"/>
        <w:rPr>
          <w:rFonts w:ascii="Arial Narrow" w:hAnsi="Arial Narrow"/>
          <w:b/>
          <w:sz w:val="30"/>
        </w:rPr>
      </w:pPr>
    </w:p>
    <w:p>
      <w:pPr>
        <w:spacing w:line="440" w:lineRule="exact"/>
        <w:jc w:val="center"/>
        <w:rPr>
          <w:rFonts w:ascii="仿宋" w:hAnsi="仿宋" w:eastAsia="仿宋"/>
          <w:b/>
          <w:sz w:val="32"/>
          <w:szCs w:val="32"/>
        </w:rPr>
      </w:pPr>
      <w:r>
        <w:rPr>
          <w:rFonts w:hint="eastAsia" w:ascii="仿宋" w:hAnsi="仿宋" w:eastAsia="仿宋"/>
          <w:b/>
          <w:sz w:val="32"/>
          <w:szCs w:val="32"/>
        </w:rPr>
        <w:t>填</w:t>
      </w:r>
      <w:r>
        <w:rPr>
          <w:rFonts w:ascii="仿宋" w:hAnsi="仿宋" w:eastAsia="仿宋"/>
          <w:b/>
          <w:sz w:val="32"/>
          <w:szCs w:val="32"/>
        </w:rPr>
        <w:t xml:space="preserve">  </w:t>
      </w:r>
      <w:r>
        <w:rPr>
          <w:rFonts w:hint="eastAsia" w:ascii="仿宋" w:hAnsi="仿宋" w:eastAsia="仿宋"/>
          <w:b/>
          <w:sz w:val="32"/>
          <w:szCs w:val="32"/>
        </w:rPr>
        <w:t>表</w:t>
      </w:r>
      <w:r>
        <w:rPr>
          <w:rFonts w:ascii="仿宋" w:hAnsi="仿宋" w:eastAsia="仿宋"/>
          <w:b/>
          <w:sz w:val="32"/>
          <w:szCs w:val="32"/>
        </w:rPr>
        <w:t xml:space="preserve">  </w:t>
      </w:r>
      <w:r>
        <w:rPr>
          <w:rFonts w:hint="eastAsia" w:ascii="仿宋" w:hAnsi="仿宋" w:eastAsia="仿宋"/>
          <w:b/>
          <w:sz w:val="32"/>
          <w:szCs w:val="32"/>
        </w:rPr>
        <w:t>说</w:t>
      </w:r>
      <w:r>
        <w:rPr>
          <w:rFonts w:ascii="仿宋" w:hAnsi="仿宋" w:eastAsia="仿宋"/>
          <w:b/>
          <w:sz w:val="32"/>
          <w:szCs w:val="32"/>
        </w:rPr>
        <w:t xml:space="preserve">  </w:t>
      </w:r>
      <w:r>
        <w:rPr>
          <w:rFonts w:hint="eastAsia" w:ascii="仿宋" w:hAnsi="仿宋" w:eastAsia="仿宋"/>
          <w:b/>
          <w:sz w:val="32"/>
          <w:szCs w:val="32"/>
        </w:rPr>
        <w:t>明</w:t>
      </w:r>
    </w:p>
    <w:p>
      <w:pPr>
        <w:spacing w:line="480" w:lineRule="exact"/>
        <w:ind w:firstLine="560" w:firstLineChars="200"/>
        <w:rPr>
          <w:rFonts w:ascii="仿宋" w:hAnsi="仿宋" w:eastAsia="仿宋"/>
          <w:sz w:val="28"/>
          <w:szCs w:val="28"/>
        </w:rPr>
      </w:pPr>
    </w:p>
    <w:p>
      <w:pPr>
        <w:numPr>
          <w:ilvl w:val="0"/>
          <w:numId w:val="1"/>
        </w:numPr>
        <w:spacing w:line="560" w:lineRule="exact"/>
        <w:ind w:firstLine="560" w:firstLineChars="200"/>
        <w:rPr>
          <w:rFonts w:ascii="仿宋" w:hAnsi="仿宋" w:eastAsia="仿宋"/>
          <w:sz w:val="28"/>
          <w:szCs w:val="28"/>
        </w:rPr>
      </w:pPr>
      <w:r>
        <w:rPr>
          <w:rFonts w:hint="eastAsia" w:ascii="仿宋" w:hAnsi="仿宋" w:eastAsia="仿宋"/>
          <w:sz w:val="28"/>
          <w:szCs w:val="28"/>
        </w:rPr>
        <w:t>表一为推荐单位填写或指导推荐候选人填写，表二为推荐候选人工作单位上级党委（党组）填写并盖章，表三为推荐候选人工作单位上级纪检监察部门填写并盖章，表四为推荐单位填写并盖章。</w:t>
      </w:r>
    </w:p>
    <w:p>
      <w:pPr>
        <w:spacing w:line="560" w:lineRule="exact"/>
        <w:rPr>
          <w:rFonts w:ascii="仿宋" w:hAnsi="仿宋" w:eastAsia="仿宋"/>
          <w:sz w:val="28"/>
          <w:szCs w:val="28"/>
        </w:rPr>
      </w:pPr>
      <w:r>
        <w:rPr>
          <w:rFonts w:hint="eastAsia" w:ascii="仿宋" w:hAnsi="仿宋" w:eastAsia="仿宋"/>
          <w:sz w:val="28"/>
          <w:szCs w:val="28"/>
        </w:rPr>
        <w:t xml:space="preserve">    例如，推荐候选人为某大学法学院教授的，表二应由该大学党委填写并盖章，表三应由该大学纪委填写并盖章，表四应由该大学法学院填写并盖章。</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二、推荐单位需填写推荐评选委员会投票情况、推荐意见（每人500字以内）。</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三、请用计算机填写，可根据实际需要分栏，但勿随意变动格式及字体字号。</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四、请各推荐单位于2023年3月20日之前，将</w:t>
      </w:r>
      <w:r>
        <w:fldChar w:fldCharType="begin"/>
      </w:r>
      <w:r>
        <w:instrText xml:space="preserve">HYPERLINK "mailto:本表电子版发至邮箱qnfxj2016@126.com"</w:instrText>
      </w:r>
      <w:r>
        <w:fldChar w:fldCharType="separate"/>
      </w:r>
      <w:r>
        <w:rPr>
          <w:rFonts w:hint="eastAsia" w:ascii="仿宋" w:hAnsi="仿宋" w:eastAsia="仿宋"/>
          <w:sz w:val="28"/>
          <w:szCs w:val="28"/>
        </w:rPr>
        <w:t>本表电子版发至指定邮箱</w:t>
      </w:r>
      <w:r>
        <w:rPr>
          <w:rFonts w:ascii="仿宋" w:hAnsi="仿宋" w:eastAsia="仿宋"/>
          <w:sz w:val="28"/>
          <w:szCs w:val="28"/>
        </w:rPr>
        <w:fldChar w:fldCharType="end"/>
      </w:r>
      <w:r>
        <w:rPr>
          <w:rFonts w:hint="eastAsia" w:ascii="仿宋" w:hAnsi="仿宋" w:eastAsia="仿宋"/>
          <w:sz w:val="28"/>
          <w:szCs w:val="28"/>
        </w:rPr>
        <w:t>。纸质版以A4纸打印一式四份，连同推荐评选情况报告、推荐候选人身份证复印件、推荐候选人代表性学术专著1-2部（独著）、学术论文3-5篇（独著或第一作者）、重要荣誉证书或证明复印件各一式一份，寄至指定地址。</w:t>
      </w:r>
    </w:p>
    <w:p>
      <w:pPr>
        <w:spacing w:line="560" w:lineRule="exact"/>
        <w:ind w:firstLine="560" w:firstLineChars="200"/>
        <w:rPr>
          <w:rFonts w:ascii="仿宋" w:hAnsi="仿宋" w:eastAsia="仿宋"/>
          <w:sz w:val="28"/>
          <w:szCs w:val="28"/>
        </w:rPr>
      </w:pP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联 系 人：魏丽莎 于晓航  010-66</w:t>
      </w:r>
      <w:r>
        <w:rPr>
          <w:rFonts w:ascii="仿宋" w:hAnsi="仿宋" w:eastAsia="仿宋"/>
          <w:color w:val="000000"/>
          <w:sz w:val="28"/>
          <w:szCs w:val="28"/>
          <w:lang w:val="en"/>
        </w:rPr>
        <w:t>1</w:t>
      </w:r>
      <w:r>
        <w:rPr>
          <w:rFonts w:hint="eastAsia" w:ascii="仿宋" w:hAnsi="仿宋" w:eastAsia="仿宋"/>
          <w:color w:val="000000"/>
          <w:sz w:val="28"/>
          <w:szCs w:val="28"/>
        </w:rPr>
        <w:t>23109</w:t>
      </w:r>
    </w:p>
    <w:p>
      <w:pPr>
        <w:snapToGrid w:val="0"/>
        <w:spacing w:line="560" w:lineRule="exact"/>
        <w:ind w:firstLine="560" w:firstLineChars="200"/>
        <w:rPr>
          <w:rFonts w:ascii="仿宋" w:hAnsi="仿宋" w:eastAsia="仿宋"/>
          <w:color w:val="000000"/>
          <w:spacing w:val="-6"/>
          <w:sz w:val="28"/>
          <w:szCs w:val="28"/>
        </w:rPr>
      </w:pPr>
      <w:r>
        <w:rPr>
          <w:rFonts w:hint="eastAsia" w:ascii="仿宋" w:hAnsi="仿宋" w:eastAsia="仿宋"/>
          <w:color w:val="000000"/>
          <w:sz w:val="28"/>
          <w:szCs w:val="28"/>
        </w:rPr>
        <w:t>邮寄地址：</w:t>
      </w:r>
      <w:r>
        <w:rPr>
          <w:rFonts w:hint="eastAsia" w:ascii="仿宋" w:hAnsi="仿宋" w:eastAsia="仿宋"/>
          <w:color w:val="000000"/>
          <w:spacing w:val="-6"/>
          <w:sz w:val="28"/>
          <w:szCs w:val="28"/>
        </w:rPr>
        <w:t>北京市海淀区皂君庙4号中国法学会研究部1334室</w:t>
      </w: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邮    编：100081</w:t>
      </w:r>
    </w:p>
    <w:p>
      <w:pPr>
        <w:snapToGrid w:val="0"/>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电子邮箱：</w:t>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HYPERLINK "mailto:qnfxj2022@163.com" </w:instrText>
      </w:r>
      <w:r>
        <w:rPr>
          <w:rFonts w:hint="eastAsia" w:ascii="仿宋" w:hAnsi="仿宋" w:eastAsia="仿宋"/>
          <w:color w:val="000000"/>
          <w:sz w:val="28"/>
          <w:szCs w:val="28"/>
        </w:rPr>
        <w:fldChar w:fldCharType="separate"/>
      </w:r>
      <w:r>
        <w:rPr>
          <w:rStyle w:val="6"/>
          <w:rFonts w:hint="eastAsia" w:ascii="仿宋" w:hAnsi="仿宋" w:eastAsia="仿宋"/>
          <w:color w:val="000000"/>
          <w:sz w:val="28"/>
          <w:szCs w:val="28"/>
        </w:rPr>
        <w:t>qnfxj2022@163.com</w:t>
      </w:r>
      <w:r>
        <w:rPr>
          <w:rFonts w:hint="eastAsia" w:ascii="仿宋" w:hAnsi="仿宋" w:eastAsia="仿宋"/>
          <w:color w:val="000000"/>
          <w:sz w:val="28"/>
          <w:szCs w:val="28"/>
        </w:rPr>
        <w:fldChar w:fldCharType="end"/>
      </w:r>
    </w:p>
    <w:p>
      <w:pPr>
        <w:snapToGrid w:val="0"/>
        <w:spacing w:line="560" w:lineRule="exact"/>
        <w:ind w:firstLine="560" w:firstLineChars="200"/>
        <w:rPr>
          <w:rFonts w:hint="eastAsia" w:ascii="仿宋" w:hAnsi="仿宋" w:eastAsia="仿宋"/>
          <w:color w:val="000000"/>
          <w:sz w:val="28"/>
          <w:szCs w:val="28"/>
        </w:rPr>
      </w:pPr>
    </w:p>
    <w:p>
      <w:pPr>
        <w:rPr>
          <w:rFonts w:ascii="宋体" w:hAnsi="宋体"/>
          <w:b/>
          <w:bCs/>
          <w:color w:val="000000"/>
          <w:sz w:val="24"/>
        </w:rPr>
      </w:pPr>
    </w:p>
    <w:tbl>
      <w:tblPr>
        <w:tblStyle w:val="4"/>
        <w:tblpPr w:leftFromText="180" w:rightFromText="180" w:vertAnchor="text" w:horzAnchor="page" w:tblpX="1732" w:tblpY="-227"/>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104"/>
        <w:gridCol w:w="1276"/>
        <w:gridCol w:w="201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9000" w:type="dxa"/>
            <w:gridSpan w:val="5"/>
            <w:tcBorders>
              <w:bottom w:val="single" w:color="000000" w:sz="4" w:space="0"/>
            </w:tcBorders>
            <w:vAlign w:val="center"/>
          </w:tcPr>
          <w:p>
            <w:pPr>
              <w:snapToGrid w:val="0"/>
              <w:rPr>
                <w:rFonts w:ascii="华文中宋" w:hAnsi="华文中宋" w:eastAsia="华文中宋"/>
                <w:b/>
                <w:color w:val="000000"/>
                <w:sz w:val="30"/>
                <w:szCs w:val="30"/>
              </w:rPr>
            </w:pPr>
            <w:r>
              <w:rPr>
                <w:rFonts w:hint="eastAsia" w:ascii="华文中宋" w:hAnsi="华文中宋" w:eastAsia="华文中宋"/>
                <w:b/>
                <w:color w:val="000000"/>
                <w:sz w:val="30"/>
                <w:szCs w:val="30"/>
              </w:rPr>
              <w:t>表一：推荐候选人情况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620" w:type="dxa"/>
            <w:tcBorders>
              <w:bottom w:val="single" w:color="000000" w:sz="4" w:space="0"/>
              <w:right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姓    名</w:t>
            </w:r>
          </w:p>
        </w:tc>
        <w:tc>
          <w:tcPr>
            <w:tcW w:w="2104" w:type="dxa"/>
            <w:tcBorders>
              <w:left w:val="single" w:color="000000" w:sz="4" w:space="0"/>
              <w:bottom w:val="single" w:color="000000" w:sz="4" w:space="0"/>
            </w:tcBorders>
            <w:vAlign w:val="center"/>
          </w:tcPr>
          <w:p>
            <w:pPr>
              <w:snapToGrid w:val="0"/>
              <w:rPr>
                <w:rFonts w:ascii="宋体" w:hAnsi="宋体"/>
                <w:b/>
                <w:color w:val="000000"/>
                <w:sz w:val="24"/>
              </w:rPr>
            </w:pPr>
            <w:r>
              <w:rPr>
                <w:rFonts w:hint="eastAsia" w:ascii="宋体" w:hAnsi="宋体"/>
                <w:b/>
                <w:color w:val="000000"/>
                <w:sz w:val="24"/>
              </w:rPr>
              <w:t>陈兵</w:t>
            </w:r>
          </w:p>
        </w:tc>
        <w:tc>
          <w:tcPr>
            <w:tcW w:w="1276" w:type="dxa"/>
            <w:tcBorders>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性    别</w:t>
            </w:r>
          </w:p>
        </w:tc>
        <w:tc>
          <w:tcPr>
            <w:tcW w:w="2016" w:type="dxa"/>
            <w:tcBorders>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男</w:t>
            </w:r>
          </w:p>
        </w:tc>
        <w:tc>
          <w:tcPr>
            <w:tcW w:w="1984" w:type="dxa"/>
            <w:vMerge w:val="restart"/>
            <w:tcBorders>
              <w:left w:val="single" w:color="000000" w:sz="4" w:space="0"/>
            </w:tcBorders>
            <w:vAlign w:val="center"/>
          </w:tcPr>
          <w:p>
            <w:pPr>
              <w:snapToGrid w:val="0"/>
              <w:jc w:val="center"/>
              <w:rPr>
                <w:rFonts w:ascii="宋体" w:hAnsi="宋体"/>
                <w:b/>
                <w:color w:val="000000"/>
                <w:sz w:val="24"/>
              </w:rPr>
            </w:pPr>
            <w:r>
              <w:rPr>
                <w:rFonts w:ascii="宋体" w:hAnsi="宋体"/>
                <w:szCs w:val="21"/>
              </w:rPr>
              <w:drawing>
                <wp:inline distT="0" distB="0" distL="0" distR="0">
                  <wp:extent cx="1111885" cy="140081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rcRect l="7918" r="8205"/>
                          <a:stretch>
                            <a:fillRect/>
                          </a:stretch>
                        </pic:blipFill>
                        <pic:spPr>
                          <a:xfrm>
                            <a:off x="0" y="0"/>
                            <a:ext cx="1124649" cy="1416708"/>
                          </a:xfrm>
                          <a:prstGeom prst="rect">
                            <a:avLst/>
                          </a:prstGeom>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620" w:type="dxa"/>
            <w:tcBorders>
              <w:top w:val="single" w:color="000000" w:sz="4" w:space="0"/>
              <w:bottom w:val="single" w:color="000000" w:sz="4" w:space="0"/>
              <w:right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出生日期</w:t>
            </w:r>
          </w:p>
        </w:tc>
        <w:tc>
          <w:tcPr>
            <w:tcW w:w="2104" w:type="dxa"/>
            <w:tcBorders>
              <w:top w:val="single" w:color="000000" w:sz="4" w:space="0"/>
              <w:left w:val="single" w:color="000000" w:sz="4" w:space="0"/>
              <w:bottom w:val="single" w:color="000000" w:sz="4" w:space="0"/>
            </w:tcBorders>
            <w:vAlign w:val="center"/>
          </w:tcPr>
          <w:p>
            <w:pPr>
              <w:snapToGrid w:val="0"/>
              <w:rPr>
                <w:rFonts w:ascii="宋体" w:hAnsi="宋体"/>
                <w:b/>
                <w:color w:val="000000"/>
                <w:sz w:val="24"/>
              </w:rPr>
            </w:pPr>
            <w:r>
              <w:rPr>
                <w:rFonts w:hint="eastAsia" w:ascii="宋体" w:hAnsi="宋体"/>
                <w:b/>
                <w:color w:val="000000"/>
                <w:sz w:val="24"/>
              </w:rPr>
              <w:t>1</w:t>
            </w:r>
            <w:r>
              <w:rPr>
                <w:rFonts w:ascii="宋体" w:hAnsi="宋体"/>
                <w:b/>
                <w:color w:val="000000"/>
                <w:sz w:val="24"/>
              </w:rPr>
              <w:t>980</w:t>
            </w:r>
            <w:r>
              <w:rPr>
                <w:rFonts w:hint="eastAsia" w:ascii="宋体" w:hAnsi="宋体"/>
                <w:b/>
                <w:color w:val="000000"/>
                <w:sz w:val="24"/>
              </w:rPr>
              <w:t>年3月1</w:t>
            </w:r>
            <w:r>
              <w:rPr>
                <w:rFonts w:ascii="宋体" w:hAnsi="宋体"/>
                <w:b/>
                <w:color w:val="000000"/>
                <w:sz w:val="24"/>
              </w:rPr>
              <w:t>4</w:t>
            </w:r>
            <w:r>
              <w:rPr>
                <w:rFonts w:hint="eastAsia" w:ascii="宋体" w:hAnsi="宋体"/>
                <w:b/>
                <w:color w:val="000000"/>
                <w:sz w:val="24"/>
              </w:rPr>
              <w:t>日</w:t>
            </w:r>
          </w:p>
        </w:tc>
        <w:tc>
          <w:tcPr>
            <w:tcW w:w="1276" w:type="dxa"/>
            <w:tcBorders>
              <w:top w:val="single" w:color="000000" w:sz="4" w:space="0"/>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民    族</w:t>
            </w:r>
          </w:p>
        </w:tc>
        <w:tc>
          <w:tcPr>
            <w:tcW w:w="2016" w:type="dxa"/>
            <w:tcBorders>
              <w:top w:val="single" w:color="000000" w:sz="4" w:space="0"/>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汉族</w:t>
            </w:r>
          </w:p>
        </w:tc>
        <w:tc>
          <w:tcPr>
            <w:tcW w:w="1984" w:type="dxa"/>
            <w:vMerge w:val="continue"/>
            <w:tcBorders>
              <w:left w:val="single" w:color="000000" w:sz="4" w:space="0"/>
            </w:tcBorders>
            <w:vAlign w:val="center"/>
          </w:tcPr>
          <w:p>
            <w:pPr>
              <w:snapToGrid w:val="0"/>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620" w:type="dxa"/>
            <w:tcBorders>
              <w:top w:val="single" w:color="000000" w:sz="4" w:space="0"/>
              <w:bottom w:val="single" w:color="auto" w:sz="4" w:space="0"/>
              <w:right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政治面貌</w:t>
            </w:r>
          </w:p>
        </w:tc>
        <w:tc>
          <w:tcPr>
            <w:tcW w:w="2104" w:type="dxa"/>
            <w:tcBorders>
              <w:top w:val="single" w:color="000000" w:sz="4" w:space="0"/>
              <w:left w:val="single" w:color="000000" w:sz="4" w:space="0"/>
              <w:bottom w:val="single" w:color="auto" w:sz="4" w:space="0"/>
            </w:tcBorders>
            <w:vAlign w:val="center"/>
          </w:tcPr>
          <w:p>
            <w:pPr>
              <w:snapToGrid w:val="0"/>
              <w:rPr>
                <w:rFonts w:ascii="宋体" w:hAnsi="宋体"/>
                <w:b/>
                <w:color w:val="000000"/>
                <w:sz w:val="24"/>
              </w:rPr>
            </w:pPr>
            <w:r>
              <w:rPr>
                <w:rFonts w:hint="eastAsia" w:ascii="宋体" w:hAnsi="宋体"/>
                <w:b/>
                <w:color w:val="000000"/>
                <w:sz w:val="24"/>
              </w:rPr>
              <w:t>中共党员</w:t>
            </w:r>
          </w:p>
        </w:tc>
        <w:tc>
          <w:tcPr>
            <w:tcW w:w="1276" w:type="dxa"/>
            <w:tcBorders>
              <w:top w:val="single" w:color="000000" w:sz="4" w:space="0"/>
              <w:left w:val="single" w:color="000000" w:sz="4" w:space="0"/>
              <w:bottom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学    历</w:t>
            </w:r>
          </w:p>
        </w:tc>
        <w:tc>
          <w:tcPr>
            <w:tcW w:w="2016" w:type="dxa"/>
            <w:tcBorders>
              <w:top w:val="single" w:color="000000" w:sz="4" w:space="0"/>
              <w:left w:val="single" w:color="000000" w:sz="4" w:space="0"/>
              <w:bottom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博士研究生</w:t>
            </w:r>
          </w:p>
        </w:tc>
        <w:tc>
          <w:tcPr>
            <w:tcW w:w="1984" w:type="dxa"/>
            <w:vMerge w:val="continue"/>
            <w:tcBorders>
              <w:left w:val="single" w:color="000000" w:sz="4" w:space="0"/>
            </w:tcBorders>
            <w:vAlign w:val="center"/>
          </w:tcPr>
          <w:p>
            <w:pPr>
              <w:snapToGrid w:val="0"/>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20" w:type="dxa"/>
            <w:tcBorders>
              <w:top w:val="single" w:color="auto" w:sz="4" w:space="0"/>
              <w:bottom w:val="single" w:color="000000" w:sz="4" w:space="0"/>
              <w:right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技术职称</w:t>
            </w:r>
          </w:p>
        </w:tc>
        <w:tc>
          <w:tcPr>
            <w:tcW w:w="2104" w:type="dxa"/>
            <w:tcBorders>
              <w:top w:val="single" w:color="auto" w:sz="4" w:space="0"/>
              <w:left w:val="single" w:color="000000" w:sz="4" w:space="0"/>
              <w:bottom w:val="single" w:color="000000" w:sz="4" w:space="0"/>
            </w:tcBorders>
            <w:vAlign w:val="center"/>
          </w:tcPr>
          <w:p>
            <w:pPr>
              <w:snapToGrid w:val="0"/>
              <w:jc w:val="left"/>
              <w:rPr>
                <w:rFonts w:ascii="宋体" w:hAnsi="宋体"/>
                <w:b/>
                <w:color w:val="000000"/>
                <w:sz w:val="24"/>
              </w:rPr>
            </w:pPr>
            <w:r>
              <w:rPr>
                <w:rFonts w:hint="eastAsia" w:ascii="宋体" w:hAnsi="宋体"/>
                <w:b/>
                <w:color w:val="000000"/>
                <w:sz w:val="24"/>
              </w:rPr>
              <w:t>教授</w:t>
            </w:r>
          </w:p>
        </w:tc>
        <w:tc>
          <w:tcPr>
            <w:tcW w:w="1276" w:type="dxa"/>
            <w:tcBorders>
              <w:top w:val="single" w:color="auto" w:sz="4" w:space="0"/>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行政职务</w:t>
            </w:r>
          </w:p>
        </w:tc>
        <w:tc>
          <w:tcPr>
            <w:tcW w:w="2016" w:type="dxa"/>
            <w:tcBorders>
              <w:top w:val="single" w:color="auto" w:sz="4" w:space="0"/>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法学院副院长</w:t>
            </w:r>
          </w:p>
        </w:tc>
        <w:tc>
          <w:tcPr>
            <w:tcW w:w="1984" w:type="dxa"/>
            <w:vMerge w:val="continue"/>
            <w:tcBorders>
              <w:left w:val="single" w:color="000000" w:sz="4" w:space="0"/>
            </w:tcBorders>
            <w:vAlign w:val="center"/>
          </w:tcPr>
          <w:p>
            <w:pPr>
              <w:snapToGrid w:val="0"/>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620" w:type="dxa"/>
            <w:tcBorders>
              <w:top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工作单位</w:t>
            </w:r>
          </w:p>
        </w:tc>
        <w:tc>
          <w:tcPr>
            <w:tcW w:w="5396" w:type="dxa"/>
            <w:gridSpan w:val="3"/>
            <w:tcBorders>
              <w:top w:val="single" w:color="000000" w:sz="4" w:space="0"/>
              <w:bottom w:val="single" w:color="000000" w:sz="4" w:space="0"/>
            </w:tcBorders>
            <w:vAlign w:val="center"/>
          </w:tcPr>
          <w:p>
            <w:pPr>
              <w:snapToGrid w:val="0"/>
              <w:jc w:val="left"/>
              <w:rPr>
                <w:rFonts w:ascii="宋体" w:hAnsi="宋体"/>
                <w:b/>
                <w:color w:val="000000"/>
                <w:sz w:val="24"/>
              </w:rPr>
            </w:pPr>
            <w:r>
              <w:rPr>
                <w:rFonts w:hint="eastAsia" w:ascii="宋体" w:hAnsi="宋体"/>
                <w:b/>
                <w:color w:val="000000"/>
                <w:sz w:val="24"/>
              </w:rPr>
              <w:t>南开大学</w:t>
            </w:r>
          </w:p>
        </w:tc>
        <w:tc>
          <w:tcPr>
            <w:tcW w:w="1984" w:type="dxa"/>
            <w:vMerge w:val="continue"/>
            <w:tcBorders>
              <w:left w:val="single" w:color="000000" w:sz="4" w:space="0"/>
            </w:tcBorders>
            <w:vAlign w:val="center"/>
          </w:tcPr>
          <w:p>
            <w:pPr>
              <w:snapToGrid w:val="0"/>
              <w:jc w:val="lef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620" w:type="dxa"/>
            <w:tcBorders>
              <w:top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通讯地址</w:t>
            </w:r>
          </w:p>
        </w:tc>
        <w:tc>
          <w:tcPr>
            <w:tcW w:w="7380" w:type="dxa"/>
            <w:gridSpan w:val="4"/>
            <w:tcBorders>
              <w:top w:val="single" w:color="000000" w:sz="4" w:space="0"/>
              <w:bottom w:val="single" w:color="000000" w:sz="4" w:space="0"/>
            </w:tcBorders>
            <w:vAlign w:val="center"/>
          </w:tcPr>
          <w:p>
            <w:pPr>
              <w:snapToGrid w:val="0"/>
              <w:jc w:val="left"/>
              <w:rPr>
                <w:rFonts w:ascii="宋体" w:hAnsi="宋体"/>
                <w:b/>
                <w:color w:val="000000"/>
                <w:sz w:val="24"/>
              </w:rPr>
            </w:pPr>
            <w:r>
              <w:rPr>
                <w:rFonts w:hint="eastAsia" w:ascii="宋体" w:hAnsi="宋体"/>
                <w:b/>
                <w:color w:val="000000"/>
                <w:sz w:val="24"/>
              </w:rPr>
              <w:t>天津市津南区海河教育园区同砚路38号南开大学津南校区法学院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1" w:hRule="atLeast"/>
        </w:trPr>
        <w:tc>
          <w:tcPr>
            <w:tcW w:w="9000" w:type="dxa"/>
            <w:gridSpan w:val="5"/>
            <w:tcBorders>
              <w:top w:val="single" w:color="auto" w:sz="4" w:space="0"/>
              <w:bottom w:val="single" w:color="000000" w:sz="4" w:space="0"/>
            </w:tcBorders>
          </w:tcPr>
          <w:p>
            <w:pPr>
              <w:tabs>
                <w:tab w:val="left" w:pos="4185"/>
              </w:tabs>
              <w:snapToGrid w:val="0"/>
              <w:spacing w:before="156" w:beforeLines="50"/>
              <w:jc w:val="center"/>
              <w:rPr>
                <w:rFonts w:ascii="宋体" w:hAnsi="宋体"/>
                <w:b/>
                <w:color w:val="000000"/>
                <w:sz w:val="30"/>
                <w:szCs w:val="30"/>
              </w:rPr>
            </w:pPr>
            <w:r>
              <w:rPr>
                <w:rFonts w:hint="eastAsia" w:ascii="宋体" w:hAnsi="宋体"/>
                <w:b/>
                <w:color w:val="000000"/>
                <w:sz w:val="30"/>
                <w:szCs w:val="30"/>
              </w:rPr>
              <w:t>重要学术成果</w:t>
            </w:r>
          </w:p>
          <w:p>
            <w:pPr>
              <w:tabs>
                <w:tab w:val="left" w:pos="4185"/>
              </w:tabs>
              <w:snapToGrid w:val="0"/>
              <w:jc w:val="center"/>
              <w:rPr>
                <w:rFonts w:ascii="楷体_GB2312" w:hAnsi="楷体" w:eastAsia="楷体_GB2312"/>
                <w:b/>
                <w:color w:val="000000"/>
                <w:sz w:val="24"/>
              </w:rPr>
            </w:pPr>
            <w:r>
              <w:rPr>
                <w:rFonts w:hint="eastAsia" w:ascii="楷体_GB2312" w:hAnsi="楷体" w:eastAsia="楷体_GB2312"/>
                <w:b/>
                <w:color w:val="000000"/>
                <w:sz w:val="24"/>
              </w:rPr>
              <w:t>（包括专著和论文，只列书名和篇名即可。论文仅限于发表在</w:t>
            </w:r>
            <w:r>
              <w:rPr>
                <w:rFonts w:hint="eastAsia" w:ascii="楷体_GB2312" w:hAnsi="楷体" w:eastAsia="楷体_GB2312"/>
                <w:b/>
                <w:color w:val="000000"/>
                <w:sz w:val="24"/>
                <w:highlight w:val="none"/>
              </w:rPr>
              <w:t>核心期刊或全国性重要报纸</w:t>
            </w:r>
            <w:r>
              <w:rPr>
                <w:rFonts w:hint="eastAsia" w:ascii="楷体_GB2312" w:hAnsi="楷体" w:eastAsia="楷体_GB2312"/>
                <w:b/>
                <w:color w:val="000000"/>
                <w:sz w:val="24"/>
              </w:rPr>
              <w:t>上的。请注明署名方式、发表或出版时间、刊物或出版社、字数。代表性著作和论文请注明中国知网统计的被引用数。）</w:t>
            </w:r>
          </w:p>
          <w:p>
            <w:pPr>
              <w:tabs>
                <w:tab w:val="left" w:pos="4185"/>
              </w:tabs>
              <w:snapToGrid w:val="0"/>
              <w:jc w:val="center"/>
              <w:rPr>
                <w:rFonts w:ascii="楷体_GB2312" w:hAnsi="楷体" w:eastAsia="楷体_GB2312"/>
                <w:b/>
                <w:color w:val="000000"/>
                <w:sz w:val="24"/>
              </w:rPr>
            </w:pPr>
          </w:p>
          <w:p>
            <w:pPr>
              <w:tabs>
                <w:tab w:val="left" w:pos="4185"/>
              </w:tabs>
              <w:snapToGrid w:val="0"/>
              <w:ind w:firstLine="480" w:firstLineChars="200"/>
              <w:rPr>
                <w:rFonts w:ascii="楷体_GB2312" w:hAnsi="楷体" w:eastAsia="楷体_GB2312"/>
                <w:bCs/>
                <w:color w:val="000000"/>
                <w:sz w:val="24"/>
              </w:rPr>
            </w:pPr>
            <w:r>
              <w:rPr>
                <w:rFonts w:hint="eastAsia" w:ascii="楷体_GB2312" w:hAnsi="楷体" w:eastAsia="楷体_GB2312"/>
                <w:bCs/>
                <w:color w:val="000000"/>
                <w:sz w:val="24"/>
              </w:rPr>
              <w:t>候选人陈兵教授致力于研究数字经济治理法治化与竞争法治等相关问题，从数字经济发展不同阶段的实际出发，坚持以问题和目标的统合为导向，既重视问题解决，也关注目标达成，整理新近的理论成果和实践经验，立足国情做研究，联动国际发展趋势，对（大）数据、平台、算法、人工智能等新技术、新业态牵动下的数字经济治理法治化问题展开全面、系统、深入的专题研究。近年来相关数字经济法治理论与实践的基础上，延伸对数字经济各具体应用场景治理的法治研究。进一步聚焦我国促进数字经济高质量发展立法的必要性、现实性及可行性问题，以数字经济发展中的竞争法治化、数据法治化、人工智能与算法法治化为核心内容和研究对象，构造数字经济法治化发展的主要支点和关键结点。</w:t>
            </w:r>
          </w:p>
          <w:p>
            <w:pPr>
              <w:tabs>
                <w:tab w:val="left" w:pos="4185"/>
              </w:tabs>
              <w:snapToGrid w:val="0"/>
              <w:ind w:firstLine="480" w:firstLineChars="200"/>
              <w:rPr>
                <w:rFonts w:ascii="楷体_GB2312" w:hAnsi="楷体" w:eastAsia="楷体_GB2312"/>
                <w:bCs/>
                <w:color w:val="000000"/>
                <w:sz w:val="24"/>
              </w:rPr>
            </w:pPr>
            <w:r>
              <w:rPr>
                <w:rFonts w:hint="eastAsia" w:ascii="楷体_GB2312" w:hAnsi="楷体" w:eastAsia="楷体_GB2312"/>
                <w:bCs/>
                <w:color w:val="000000"/>
                <w:sz w:val="24"/>
              </w:rPr>
              <w:t>截止202</w:t>
            </w:r>
            <w:r>
              <w:rPr>
                <w:rFonts w:ascii="楷体_GB2312" w:hAnsi="楷体" w:eastAsia="楷体_GB2312"/>
                <w:bCs/>
                <w:color w:val="000000"/>
                <w:sz w:val="24"/>
              </w:rPr>
              <w:t>3</w:t>
            </w:r>
            <w:r>
              <w:rPr>
                <w:rFonts w:hint="eastAsia" w:ascii="楷体_GB2312" w:hAnsi="楷体" w:eastAsia="楷体_GB2312"/>
                <w:bCs/>
                <w:color w:val="000000"/>
                <w:sz w:val="24"/>
              </w:rPr>
              <w:t>年</w:t>
            </w:r>
            <w:r>
              <w:rPr>
                <w:rFonts w:ascii="楷体_GB2312" w:hAnsi="楷体" w:eastAsia="楷体_GB2312"/>
                <w:bCs/>
                <w:color w:val="000000"/>
                <w:sz w:val="24"/>
              </w:rPr>
              <w:t>2</w:t>
            </w:r>
            <w:r>
              <w:rPr>
                <w:rFonts w:hint="eastAsia" w:ascii="楷体_GB2312" w:hAnsi="楷体" w:eastAsia="楷体_GB2312"/>
                <w:bCs/>
                <w:color w:val="000000"/>
                <w:sz w:val="24"/>
              </w:rPr>
              <w:t>月，候选人陈兵教授独著《自由与秩序——互联网经济法治精神》《数字经济时代法治观澜》《新基建与数据治理法治化》《法治推进下的数字经济规范发展》《数字经济多维治理的逻辑阐发》5部，共计150余万字；合著《中华人民共和国反垄断法理解与适用》。在《中外法学》《政法论坛》《法学》《法制与社会发展》《当代法学》《知识产权》等中英韩文学术刊物上发表论文两百余篇，核心期刊（CSSCI（含辑刊、扩展版）、北大核心）收录百余篇，20余篇次被《人民日报》、《中国社会科学文摘》、人大复印资料《经济法学、劳动法学》《宪法学、行政法学》《法理学、法史学》《社会主义经济理论与实践》《中国政治》全文转载，被《高等学校文科学术文摘》、人大复印资料《法学文摘》《财政金融文摘》等转摘。为数字经济高质量发展中亟需的相关法律和政策的制定与实施提供理论基础和智力支撑。</w:t>
            </w:r>
          </w:p>
          <w:p>
            <w:pPr>
              <w:tabs>
                <w:tab w:val="left" w:pos="4185"/>
              </w:tabs>
              <w:snapToGrid w:val="0"/>
              <w:jc w:val="center"/>
              <w:rPr>
                <w:rFonts w:ascii="楷体_GB2312" w:hAnsi="楷体" w:eastAsia="楷体_GB2312"/>
                <w:b/>
                <w:color w:val="000000"/>
                <w:sz w:val="24"/>
              </w:rPr>
            </w:pPr>
          </w:p>
          <w:p>
            <w:pPr>
              <w:tabs>
                <w:tab w:val="left" w:pos="4185"/>
              </w:tabs>
              <w:snapToGrid w:val="0"/>
              <w:spacing w:line="276" w:lineRule="auto"/>
              <w:ind w:firstLine="482" w:firstLineChars="200"/>
              <w:rPr>
                <w:rFonts w:ascii="楷体_GB2312" w:hAnsi="楷体" w:eastAsia="楷体_GB2312"/>
                <w:b/>
                <w:color w:val="000000"/>
                <w:sz w:val="24"/>
              </w:rPr>
            </w:pPr>
            <w:r>
              <w:rPr>
                <w:rFonts w:hint="eastAsia" w:ascii="楷体_GB2312" w:hAnsi="楷体" w:eastAsia="楷体_GB2312"/>
                <w:b/>
                <w:color w:val="000000"/>
                <w:sz w:val="24"/>
              </w:rPr>
              <w:t>一、代表性学术成果</w:t>
            </w:r>
          </w:p>
          <w:p>
            <w:pPr>
              <w:tabs>
                <w:tab w:val="left" w:pos="4185"/>
              </w:tabs>
              <w:snapToGrid w:val="0"/>
              <w:spacing w:line="276" w:lineRule="auto"/>
              <w:ind w:firstLine="482" w:firstLineChars="200"/>
              <w:rPr>
                <w:rFonts w:ascii="楷体_GB2312" w:hAnsi="楷体" w:eastAsia="楷体_GB2312"/>
                <w:b/>
                <w:color w:val="000000"/>
                <w:sz w:val="24"/>
              </w:rPr>
            </w:pPr>
            <w:r>
              <w:rPr>
                <w:rFonts w:hint="eastAsia" w:ascii="楷体_GB2312" w:hAnsi="楷体" w:eastAsia="楷体_GB2312"/>
                <w:b/>
                <w:color w:val="000000"/>
                <w:sz w:val="24"/>
              </w:rPr>
              <w:t>（一）学术专著</w:t>
            </w:r>
          </w:p>
          <w:p>
            <w:pPr>
              <w:tabs>
                <w:tab w:val="left" w:pos="4185"/>
              </w:tabs>
              <w:snapToGrid w:val="0"/>
              <w:spacing w:line="276" w:lineRule="auto"/>
              <w:ind w:firstLine="482" w:firstLineChars="200"/>
              <w:rPr>
                <w:rFonts w:ascii="楷体_GB2312" w:hAnsi="楷体" w:eastAsia="楷体_GB2312"/>
                <w:b/>
                <w:color w:val="000000"/>
                <w:sz w:val="24"/>
              </w:rPr>
            </w:pPr>
            <w:r>
              <w:rPr>
                <w:rFonts w:hint="eastAsia" w:ascii="楷体_GB2312" w:hAnsi="楷体" w:eastAsia="楷体_GB2312"/>
                <w:b/>
                <w:color w:val="000000"/>
                <w:sz w:val="24"/>
              </w:rPr>
              <w:t>1</w:t>
            </w:r>
            <w:r>
              <w:rPr>
                <w:rFonts w:ascii="楷体_GB2312" w:hAnsi="楷体" w:eastAsia="楷体_GB2312"/>
                <w:b/>
                <w:color w:val="000000"/>
                <w:sz w:val="24"/>
              </w:rPr>
              <w:t>.</w:t>
            </w:r>
            <w:r>
              <w:rPr>
                <w:rFonts w:hint="eastAsia" w:ascii="楷体_GB2312" w:hAnsi="楷体" w:eastAsia="楷体_GB2312"/>
                <w:b/>
                <w:color w:val="000000"/>
                <w:sz w:val="24"/>
              </w:rPr>
              <w:t>陈兵独著：《新基建与数据治理法治化》，北京：人民出版社，2</w:t>
            </w:r>
            <w:r>
              <w:rPr>
                <w:rFonts w:ascii="楷体_GB2312" w:hAnsi="楷体" w:eastAsia="楷体_GB2312"/>
                <w:b/>
                <w:color w:val="000000"/>
                <w:sz w:val="24"/>
              </w:rPr>
              <w:t>022</w:t>
            </w:r>
            <w:r>
              <w:rPr>
                <w:rFonts w:hint="eastAsia" w:ascii="楷体_GB2312" w:hAnsi="楷体" w:eastAsia="楷体_GB2312"/>
                <w:b/>
                <w:color w:val="000000"/>
                <w:sz w:val="24"/>
              </w:rPr>
              <w:t>年1月版，1</w:t>
            </w:r>
            <w:r>
              <w:rPr>
                <w:rFonts w:ascii="楷体_GB2312" w:hAnsi="楷体" w:eastAsia="楷体_GB2312"/>
                <w:b/>
                <w:color w:val="000000"/>
                <w:sz w:val="24"/>
              </w:rPr>
              <w:t>84</w:t>
            </w:r>
            <w:r>
              <w:rPr>
                <w:rFonts w:hint="eastAsia" w:ascii="楷体_GB2312" w:hAnsi="楷体" w:eastAsia="楷体_GB2312"/>
                <w:b/>
                <w:color w:val="000000"/>
                <w:sz w:val="24"/>
              </w:rPr>
              <w:t>千字。</w:t>
            </w:r>
          </w:p>
          <w:p>
            <w:pPr>
              <w:tabs>
                <w:tab w:val="left" w:pos="4185"/>
              </w:tabs>
              <w:snapToGrid w:val="0"/>
              <w:spacing w:line="276" w:lineRule="auto"/>
              <w:ind w:firstLine="482" w:firstLineChars="200"/>
              <w:rPr>
                <w:rFonts w:ascii="楷体_GB2312" w:hAnsi="楷体" w:eastAsia="楷体_GB2312"/>
                <w:b/>
                <w:color w:val="000000"/>
                <w:sz w:val="24"/>
              </w:rPr>
            </w:pPr>
            <w:r>
              <w:rPr>
                <w:rFonts w:hint="eastAsia" w:ascii="楷体_GB2312" w:hAnsi="楷体" w:eastAsia="楷体_GB2312"/>
                <w:b/>
                <w:color w:val="000000"/>
                <w:sz w:val="24"/>
              </w:rPr>
              <w:t>2</w:t>
            </w:r>
            <w:r>
              <w:rPr>
                <w:rFonts w:ascii="楷体_GB2312" w:hAnsi="楷体" w:eastAsia="楷体_GB2312"/>
                <w:b/>
                <w:color w:val="000000"/>
                <w:sz w:val="24"/>
              </w:rPr>
              <w:t>.</w:t>
            </w:r>
            <w:r>
              <w:rPr>
                <w:rFonts w:hint="eastAsia" w:ascii="楷体_GB2312" w:hAnsi="楷体" w:eastAsia="楷体_GB2312"/>
                <w:b/>
                <w:color w:val="000000"/>
                <w:sz w:val="24"/>
              </w:rPr>
              <w:t>陈兵独著：《法治推进下的数字经济规范发展》，北京：社会科学文献出版社，2</w:t>
            </w:r>
            <w:r>
              <w:rPr>
                <w:rFonts w:ascii="楷体_GB2312" w:hAnsi="楷体" w:eastAsia="楷体_GB2312"/>
                <w:b/>
                <w:color w:val="000000"/>
                <w:sz w:val="24"/>
              </w:rPr>
              <w:t>022</w:t>
            </w:r>
            <w:r>
              <w:rPr>
                <w:rFonts w:hint="eastAsia" w:ascii="楷体_GB2312" w:hAnsi="楷体" w:eastAsia="楷体_GB2312"/>
                <w:b/>
                <w:color w:val="000000"/>
                <w:sz w:val="24"/>
              </w:rPr>
              <w:t>年9月版，2</w:t>
            </w:r>
            <w:r>
              <w:rPr>
                <w:rFonts w:ascii="楷体_GB2312" w:hAnsi="楷体" w:eastAsia="楷体_GB2312"/>
                <w:b/>
                <w:color w:val="000000"/>
                <w:sz w:val="24"/>
              </w:rPr>
              <w:t>77</w:t>
            </w:r>
            <w:r>
              <w:rPr>
                <w:rFonts w:hint="eastAsia" w:ascii="楷体_GB2312" w:hAnsi="楷体" w:eastAsia="楷体_GB2312"/>
                <w:b/>
                <w:color w:val="000000"/>
                <w:sz w:val="24"/>
              </w:rPr>
              <w:t>千字。</w:t>
            </w:r>
          </w:p>
          <w:p>
            <w:pPr>
              <w:tabs>
                <w:tab w:val="left" w:pos="4185"/>
              </w:tabs>
              <w:snapToGrid w:val="0"/>
              <w:spacing w:line="276" w:lineRule="auto"/>
              <w:ind w:firstLine="482" w:firstLineChars="200"/>
              <w:rPr>
                <w:rFonts w:ascii="楷体_GB2312" w:hAnsi="楷体" w:eastAsia="楷体_GB2312"/>
                <w:b/>
                <w:color w:val="000000"/>
                <w:sz w:val="24"/>
              </w:rPr>
            </w:pPr>
            <w:r>
              <w:rPr>
                <w:rFonts w:hint="eastAsia" w:ascii="楷体_GB2312" w:hAnsi="楷体" w:eastAsia="楷体_GB2312"/>
                <w:b/>
                <w:color w:val="000000"/>
                <w:sz w:val="24"/>
              </w:rPr>
              <w:t>（二）学术论文（被引用数统计时间：2</w:t>
            </w:r>
            <w:r>
              <w:rPr>
                <w:rFonts w:ascii="楷体_GB2312" w:hAnsi="楷体" w:eastAsia="楷体_GB2312"/>
                <w:b/>
                <w:color w:val="000000"/>
                <w:sz w:val="24"/>
              </w:rPr>
              <w:t>023</w:t>
            </w:r>
            <w:r>
              <w:rPr>
                <w:rFonts w:hint="eastAsia" w:ascii="楷体_GB2312" w:hAnsi="楷体" w:eastAsia="楷体_GB2312"/>
                <w:b/>
                <w:color w:val="000000"/>
                <w:sz w:val="24"/>
              </w:rPr>
              <w:t>年2月2</w:t>
            </w:r>
            <w:r>
              <w:rPr>
                <w:rFonts w:ascii="楷体_GB2312" w:hAnsi="楷体" w:eastAsia="楷体_GB2312"/>
                <w:b/>
                <w:color w:val="000000"/>
                <w:sz w:val="24"/>
              </w:rPr>
              <w:t>0</w:t>
            </w:r>
            <w:r>
              <w:rPr>
                <w:rFonts w:hint="eastAsia" w:ascii="楷体_GB2312" w:hAnsi="楷体" w:eastAsia="楷体_GB2312"/>
                <w:b/>
                <w:color w:val="000000"/>
                <w:sz w:val="24"/>
              </w:rPr>
              <w:t>日）</w:t>
            </w:r>
          </w:p>
          <w:p>
            <w:pPr>
              <w:tabs>
                <w:tab w:val="left" w:pos="4185"/>
              </w:tabs>
              <w:snapToGrid w:val="0"/>
              <w:spacing w:line="276" w:lineRule="auto"/>
              <w:ind w:firstLine="482" w:firstLineChars="200"/>
              <w:rPr>
                <w:rFonts w:ascii="楷体_GB2312" w:hAnsi="楷体" w:eastAsia="楷体_GB2312"/>
                <w:b/>
                <w:color w:val="000000"/>
                <w:sz w:val="24"/>
              </w:rPr>
            </w:pPr>
            <w:r>
              <w:rPr>
                <w:rFonts w:hint="eastAsia" w:ascii="楷体_GB2312" w:hAnsi="楷体" w:eastAsia="楷体_GB2312"/>
                <w:b/>
                <w:color w:val="000000"/>
                <w:sz w:val="24"/>
              </w:rPr>
              <w:t>1.陈兵：《大数据的竞争法属性及规制意义》，载《法学》2018年8期，被引用数</w:t>
            </w:r>
            <w:r>
              <w:rPr>
                <w:rFonts w:ascii="楷体_GB2312" w:hAnsi="楷体" w:eastAsia="楷体_GB2312"/>
                <w:b/>
                <w:color w:val="000000"/>
                <w:sz w:val="24"/>
              </w:rPr>
              <w:t>241</w:t>
            </w:r>
            <w:r>
              <w:rPr>
                <w:rFonts w:hint="eastAsia" w:ascii="楷体_GB2312" w:hAnsi="楷体" w:eastAsia="楷体_GB2312"/>
                <w:b/>
                <w:color w:val="000000"/>
                <w:sz w:val="24"/>
              </w:rPr>
              <w:t>次。</w:t>
            </w:r>
          </w:p>
          <w:p>
            <w:pPr>
              <w:tabs>
                <w:tab w:val="left" w:pos="4185"/>
              </w:tabs>
              <w:snapToGrid w:val="0"/>
              <w:spacing w:line="276" w:lineRule="auto"/>
              <w:ind w:firstLine="482" w:firstLineChars="200"/>
              <w:rPr>
                <w:rFonts w:ascii="楷体_GB2312" w:hAnsi="楷体" w:eastAsia="楷体_GB2312"/>
                <w:b/>
                <w:color w:val="000000"/>
                <w:sz w:val="24"/>
              </w:rPr>
            </w:pPr>
            <w:r>
              <w:rPr>
                <w:rFonts w:ascii="楷体_GB2312" w:hAnsi="楷体" w:eastAsia="楷体_GB2312"/>
                <w:b/>
                <w:color w:val="000000"/>
                <w:sz w:val="24"/>
              </w:rPr>
              <w:t>2</w:t>
            </w:r>
            <w:r>
              <w:rPr>
                <w:rFonts w:hint="eastAsia" w:ascii="楷体_GB2312" w:hAnsi="楷体" w:eastAsia="楷体_GB2312"/>
                <w:b/>
                <w:color w:val="000000"/>
                <w:sz w:val="24"/>
              </w:rPr>
              <w:t>.陈兵：《因应超级平台对反垄断法规制的挑战》，载《法学》2020年2期，被引用数</w:t>
            </w:r>
            <w:r>
              <w:rPr>
                <w:rFonts w:ascii="楷体_GB2312" w:hAnsi="楷体" w:eastAsia="楷体_GB2312"/>
                <w:b/>
                <w:color w:val="000000"/>
                <w:sz w:val="24"/>
              </w:rPr>
              <w:t>172</w:t>
            </w:r>
            <w:r>
              <w:rPr>
                <w:rFonts w:hint="eastAsia" w:ascii="楷体_GB2312" w:hAnsi="楷体" w:eastAsia="楷体_GB2312"/>
                <w:b/>
                <w:color w:val="000000"/>
                <w:sz w:val="24"/>
              </w:rPr>
              <w:t>次。</w:t>
            </w:r>
          </w:p>
          <w:p>
            <w:pPr>
              <w:tabs>
                <w:tab w:val="left" w:pos="4185"/>
              </w:tabs>
              <w:snapToGrid w:val="0"/>
              <w:spacing w:line="276" w:lineRule="auto"/>
              <w:ind w:firstLine="482" w:firstLineChars="200"/>
              <w:rPr>
                <w:rFonts w:ascii="楷体_GB2312" w:hAnsi="楷体" w:eastAsia="楷体_GB2312"/>
                <w:b/>
                <w:color w:val="000000"/>
                <w:sz w:val="24"/>
              </w:rPr>
            </w:pPr>
            <w:r>
              <w:rPr>
                <w:rFonts w:ascii="楷体_GB2312" w:hAnsi="楷体" w:eastAsia="楷体_GB2312"/>
                <w:b/>
                <w:color w:val="000000"/>
                <w:sz w:val="24"/>
              </w:rPr>
              <w:t>3</w:t>
            </w:r>
            <w:r>
              <w:rPr>
                <w:rFonts w:hint="eastAsia" w:ascii="楷体_GB2312" w:hAnsi="楷体" w:eastAsia="楷体_GB2312"/>
                <w:b/>
                <w:color w:val="000000"/>
                <w:sz w:val="24"/>
              </w:rPr>
              <w:t>.陈兵：《互联网经济下重读“竞争关系”在反不正当竞争法上的意义——以京、沪、粤法院2000～2018年的相关案件为引证》，载《法学》2019年7期，被引用数</w:t>
            </w:r>
            <w:r>
              <w:rPr>
                <w:rFonts w:ascii="楷体_GB2312" w:hAnsi="楷体" w:eastAsia="楷体_GB2312"/>
                <w:b/>
                <w:color w:val="000000"/>
                <w:sz w:val="24"/>
              </w:rPr>
              <w:t>15</w:t>
            </w:r>
            <w:r>
              <w:rPr>
                <w:rFonts w:hint="eastAsia" w:ascii="楷体_GB2312" w:hAnsi="楷体" w:eastAsia="楷体_GB2312"/>
                <w:b/>
                <w:color w:val="000000"/>
                <w:sz w:val="24"/>
              </w:rPr>
              <w:t>2次。</w:t>
            </w:r>
          </w:p>
          <w:p>
            <w:pPr>
              <w:tabs>
                <w:tab w:val="left" w:pos="4185"/>
              </w:tabs>
              <w:snapToGrid w:val="0"/>
              <w:spacing w:line="276" w:lineRule="auto"/>
              <w:ind w:firstLine="482" w:firstLineChars="200"/>
              <w:rPr>
                <w:rFonts w:ascii="楷体_GB2312" w:hAnsi="楷体" w:eastAsia="楷体_GB2312"/>
                <w:b/>
                <w:color w:val="000000"/>
                <w:sz w:val="24"/>
              </w:rPr>
            </w:pPr>
            <w:r>
              <w:rPr>
                <w:rFonts w:ascii="楷体_GB2312" w:hAnsi="楷体" w:eastAsia="楷体_GB2312"/>
                <w:b/>
                <w:color w:val="000000"/>
                <w:sz w:val="24"/>
              </w:rPr>
              <w:t>4</w:t>
            </w:r>
            <w:r>
              <w:rPr>
                <w:rFonts w:hint="eastAsia" w:ascii="楷体_GB2312" w:hAnsi="楷体" w:eastAsia="楷体_GB2312"/>
                <w:b/>
                <w:color w:val="000000"/>
                <w:sz w:val="24"/>
              </w:rPr>
              <w:t>.陈兵：《互联网屏蔽行为的反不正当竞争法规制》，载《法学》2021年6期，被引用数</w:t>
            </w:r>
            <w:r>
              <w:rPr>
                <w:rFonts w:ascii="楷体_GB2312" w:hAnsi="楷体" w:eastAsia="楷体_GB2312"/>
                <w:b/>
                <w:color w:val="000000"/>
                <w:sz w:val="24"/>
              </w:rPr>
              <w:t>23</w:t>
            </w:r>
            <w:r>
              <w:rPr>
                <w:rFonts w:hint="eastAsia" w:ascii="楷体_GB2312" w:hAnsi="楷体" w:eastAsia="楷体_GB2312"/>
                <w:b/>
                <w:color w:val="000000"/>
                <w:sz w:val="24"/>
              </w:rPr>
              <w:t>次。</w:t>
            </w:r>
          </w:p>
          <w:p>
            <w:pPr>
              <w:tabs>
                <w:tab w:val="left" w:pos="4185"/>
              </w:tabs>
              <w:snapToGrid w:val="0"/>
              <w:spacing w:line="276" w:lineRule="auto"/>
              <w:ind w:firstLine="482" w:firstLineChars="200"/>
              <w:rPr>
                <w:rFonts w:ascii="楷体_GB2312" w:hAnsi="楷体" w:eastAsia="楷体_GB2312"/>
                <w:b/>
                <w:color w:val="000000"/>
                <w:sz w:val="24"/>
              </w:rPr>
            </w:pPr>
            <w:r>
              <w:rPr>
                <w:rFonts w:ascii="楷体_GB2312" w:hAnsi="楷体" w:eastAsia="楷体_GB2312"/>
                <w:b/>
                <w:color w:val="000000"/>
                <w:sz w:val="24"/>
              </w:rPr>
              <w:t>5</w:t>
            </w:r>
            <w:r>
              <w:rPr>
                <w:rFonts w:hint="eastAsia" w:ascii="楷体_GB2312" w:hAnsi="楷体" w:eastAsia="楷体_GB2312"/>
                <w:b/>
                <w:color w:val="000000"/>
                <w:sz w:val="24"/>
              </w:rPr>
              <w:t>.陈兵：《保护与竞争:治理数据爬取行为的竞争法功能实现》，载《政法论坛》2021年6期，被引用数</w:t>
            </w:r>
            <w:r>
              <w:rPr>
                <w:rFonts w:ascii="楷体_GB2312" w:hAnsi="楷体" w:eastAsia="楷体_GB2312"/>
                <w:b/>
                <w:color w:val="000000"/>
                <w:sz w:val="24"/>
              </w:rPr>
              <w:t>22</w:t>
            </w:r>
            <w:r>
              <w:rPr>
                <w:rFonts w:hint="eastAsia" w:ascii="楷体_GB2312" w:hAnsi="楷体" w:eastAsia="楷体_GB2312"/>
                <w:b/>
                <w:color w:val="000000"/>
                <w:sz w:val="24"/>
              </w:rPr>
              <w:t>次。</w:t>
            </w:r>
          </w:p>
          <w:p>
            <w:pPr>
              <w:tabs>
                <w:tab w:val="left" w:pos="4185"/>
              </w:tabs>
              <w:snapToGrid w:val="0"/>
              <w:spacing w:line="276" w:lineRule="auto"/>
              <w:ind w:firstLine="482" w:firstLineChars="200"/>
              <w:rPr>
                <w:rFonts w:ascii="楷体_GB2312" w:hAnsi="楷体" w:eastAsia="楷体_GB2312"/>
                <w:b/>
                <w:color w:val="000000"/>
                <w:sz w:val="24"/>
              </w:rPr>
            </w:pPr>
          </w:p>
          <w:p>
            <w:pPr>
              <w:tabs>
                <w:tab w:val="left" w:pos="4185"/>
              </w:tabs>
              <w:snapToGrid w:val="0"/>
              <w:spacing w:line="276" w:lineRule="auto"/>
              <w:ind w:firstLine="482" w:firstLineChars="200"/>
              <w:rPr>
                <w:rFonts w:ascii="楷体_GB2312" w:hAnsi="楷体" w:eastAsia="楷体_GB2312"/>
                <w:b/>
                <w:color w:val="000000"/>
                <w:sz w:val="24"/>
              </w:rPr>
            </w:pPr>
            <w:r>
              <w:rPr>
                <w:rFonts w:hint="eastAsia" w:ascii="楷体_GB2312" w:hAnsi="楷体" w:eastAsia="楷体_GB2312"/>
                <w:b/>
                <w:color w:val="000000"/>
                <w:sz w:val="24"/>
              </w:rPr>
              <w:t>二、其他重要学术成果</w:t>
            </w:r>
          </w:p>
          <w:p>
            <w:pPr>
              <w:tabs>
                <w:tab w:val="left" w:pos="4185"/>
              </w:tabs>
              <w:snapToGrid w:val="0"/>
              <w:spacing w:line="276" w:lineRule="auto"/>
              <w:ind w:firstLine="482" w:firstLineChars="200"/>
              <w:rPr>
                <w:rFonts w:ascii="楷体_GB2312" w:hAnsi="楷体" w:eastAsia="楷体_GB2312"/>
                <w:b/>
                <w:color w:val="000000"/>
                <w:sz w:val="24"/>
              </w:rPr>
            </w:pPr>
            <w:r>
              <w:rPr>
                <w:rFonts w:hint="eastAsia" w:ascii="楷体_GB2312" w:hAnsi="楷体" w:eastAsia="楷体_GB2312"/>
                <w:b/>
                <w:color w:val="000000"/>
                <w:sz w:val="24"/>
              </w:rPr>
              <w:t>（一）学术专著</w:t>
            </w:r>
          </w:p>
          <w:p>
            <w:pPr>
              <w:tabs>
                <w:tab w:val="left" w:pos="4185"/>
              </w:tabs>
              <w:snapToGrid w:val="0"/>
              <w:spacing w:line="276" w:lineRule="auto"/>
              <w:ind w:firstLine="482" w:firstLineChars="200"/>
              <w:rPr>
                <w:rFonts w:ascii="楷体_GB2312" w:hAnsi="楷体" w:eastAsia="楷体_GB2312"/>
                <w:b/>
                <w:color w:val="000000"/>
                <w:sz w:val="24"/>
              </w:rPr>
            </w:pPr>
            <w:r>
              <w:rPr>
                <w:rFonts w:hint="eastAsia" w:ascii="楷体_GB2312" w:hAnsi="楷体" w:eastAsia="楷体_GB2312"/>
                <w:b/>
                <w:color w:val="000000"/>
                <w:sz w:val="24"/>
              </w:rPr>
              <w:t>1</w:t>
            </w:r>
            <w:r>
              <w:rPr>
                <w:rFonts w:ascii="楷体_GB2312" w:hAnsi="楷体" w:eastAsia="楷体_GB2312"/>
                <w:b/>
                <w:color w:val="000000"/>
                <w:sz w:val="24"/>
              </w:rPr>
              <w:t>.</w:t>
            </w:r>
            <w:r>
              <w:rPr>
                <w:rFonts w:hint="eastAsia" w:ascii="楷体_GB2312" w:hAnsi="楷体" w:eastAsia="楷体_GB2312"/>
                <w:b/>
                <w:color w:val="000000"/>
                <w:sz w:val="24"/>
              </w:rPr>
              <w:t>陈兵独著：《自由与秩序——互联网经济法治精神》，北京：知识产权出版社，2</w:t>
            </w:r>
            <w:r>
              <w:rPr>
                <w:rFonts w:ascii="楷体_GB2312" w:hAnsi="楷体" w:eastAsia="楷体_GB2312"/>
                <w:b/>
                <w:color w:val="000000"/>
                <w:sz w:val="24"/>
              </w:rPr>
              <w:t>020</w:t>
            </w:r>
            <w:r>
              <w:rPr>
                <w:rFonts w:hint="eastAsia" w:ascii="楷体_GB2312" w:hAnsi="楷体" w:eastAsia="楷体_GB2312"/>
                <w:b/>
                <w:color w:val="000000"/>
                <w:sz w:val="24"/>
              </w:rPr>
              <w:t>年</w:t>
            </w:r>
            <w:r>
              <w:rPr>
                <w:rFonts w:ascii="楷体_GB2312" w:hAnsi="楷体" w:eastAsia="楷体_GB2312"/>
                <w:b/>
                <w:color w:val="000000"/>
                <w:sz w:val="24"/>
              </w:rPr>
              <w:t>9</w:t>
            </w:r>
            <w:r>
              <w:rPr>
                <w:rFonts w:hint="eastAsia" w:ascii="楷体_GB2312" w:hAnsi="楷体" w:eastAsia="楷体_GB2312"/>
                <w:b/>
                <w:color w:val="000000"/>
                <w:sz w:val="24"/>
              </w:rPr>
              <w:t>月版，</w:t>
            </w:r>
            <w:r>
              <w:rPr>
                <w:rFonts w:ascii="楷体_GB2312" w:hAnsi="楷体" w:eastAsia="楷体_GB2312"/>
                <w:b/>
                <w:color w:val="000000"/>
                <w:sz w:val="24"/>
              </w:rPr>
              <w:t>450</w:t>
            </w:r>
            <w:r>
              <w:rPr>
                <w:rFonts w:hint="eastAsia" w:ascii="楷体_GB2312" w:hAnsi="楷体" w:eastAsia="楷体_GB2312"/>
                <w:b/>
                <w:color w:val="000000"/>
                <w:sz w:val="24"/>
              </w:rPr>
              <w:t>千字。</w:t>
            </w:r>
          </w:p>
          <w:p>
            <w:pPr>
              <w:tabs>
                <w:tab w:val="left" w:pos="4185"/>
              </w:tabs>
              <w:snapToGrid w:val="0"/>
              <w:spacing w:line="276" w:lineRule="auto"/>
              <w:ind w:firstLine="482" w:firstLineChars="200"/>
              <w:rPr>
                <w:rFonts w:ascii="楷体_GB2312" w:hAnsi="楷体" w:eastAsia="楷体_GB2312"/>
                <w:b/>
                <w:color w:val="000000"/>
                <w:sz w:val="24"/>
              </w:rPr>
            </w:pPr>
            <w:r>
              <w:rPr>
                <w:rFonts w:ascii="楷体_GB2312" w:hAnsi="楷体" w:eastAsia="楷体_GB2312"/>
                <w:b/>
                <w:color w:val="000000"/>
                <w:sz w:val="24"/>
              </w:rPr>
              <w:t>2.</w:t>
            </w:r>
            <w:r>
              <w:rPr>
                <w:rFonts w:hint="eastAsia" w:ascii="楷体_GB2312" w:hAnsi="楷体" w:eastAsia="楷体_GB2312"/>
                <w:b/>
                <w:color w:val="000000"/>
                <w:sz w:val="24"/>
              </w:rPr>
              <w:t>陈兵独著：《数字经济时代法治观澜》，北京：人民出版社，2021年12月版，294千字。</w:t>
            </w:r>
          </w:p>
          <w:p>
            <w:pPr>
              <w:tabs>
                <w:tab w:val="left" w:pos="4185"/>
              </w:tabs>
              <w:snapToGrid w:val="0"/>
              <w:spacing w:line="276" w:lineRule="auto"/>
              <w:ind w:firstLine="482" w:firstLineChars="200"/>
              <w:rPr>
                <w:rFonts w:ascii="楷体_GB2312" w:hAnsi="楷体" w:eastAsia="楷体_GB2312"/>
                <w:b/>
                <w:color w:val="000000"/>
                <w:sz w:val="24"/>
              </w:rPr>
            </w:pPr>
            <w:r>
              <w:rPr>
                <w:rFonts w:ascii="楷体_GB2312" w:hAnsi="楷体" w:eastAsia="楷体_GB2312"/>
                <w:b/>
                <w:color w:val="000000"/>
                <w:sz w:val="24"/>
              </w:rPr>
              <w:t>3.</w:t>
            </w:r>
            <w:r>
              <w:rPr>
                <w:rFonts w:hint="eastAsia" w:ascii="楷体_GB2312" w:hAnsi="楷体" w:eastAsia="楷体_GB2312"/>
                <w:b/>
                <w:color w:val="000000"/>
                <w:sz w:val="24"/>
              </w:rPr>
              <w:t>陈兵独著：《数字经济多维治理的逻辑阐发》，北京：中国法制出版社，2</w:t>
            </w:r>
            <w:r>
              <w:rPr>
                <w:rFonts w:ascii="楷体_GB2312" w:hAnsi="楷体" w:eastAsia="楷体_GB2312"/>
                <w:b/>
                <w:color w:val="000000"/>
                <w:sz w:val="24"/>
              </w:rPr>
              <w:t>022</w:t>
            </w:r>
            <w:r>
              <w:rPr>
                <w:rFonts w:hint="eastAsia" w:ascii="楷体_GB2312" w:hAnsi="楷体" w:eastAsia="楷体_GB2312"/>
                <w:b/>
                <w:color w:val="000000"/>
                <w:sz w:val="24"/>
              </w:rPr>
              <w:t>年</w:t>
            </w:r>
            <w:r>
              <w:rPr>
                <w:rFonts w:ascii="楷体_GB2312" w:hAnsi="楷体" w:eastAsia="楷体_GB2312"/>
                <w:b/>
                <w:color w:val="000000"/>
                <w:sz w:val="24"/>
              </w:rPr>
              <w:t>12</w:t>
            </w:r>
            <w:r>
              <w:rPr>
                <w:rFonts w:hint="eastAsia" w:ascii="楷体_GB2312" w:hAnsi="楷体" w:eastAsia="楷体_GB2312"/>
                <w:b/>
                <w:color w:val="000000"/>
                <w:sz w:val="24"/>
              </w:rPr>
              <w:t>月版，</w:t>
            </w:r>
            <w:r>
              <w:rPr>
                <w:rFonts w:ascii="楷体_GB2312" w:hAnsi="楷体" w:eastAsia="楷体_GB2312"/>
                <w:b/>
                <w:color w:val="000000"/>
                <w:sz w:val="24"/>
              </w:rPr>
              <w:t>450</w:t>
            </w:r>
            <w:r>
              <w:rPr>
                <w:rFonts w:hint="eastAsia" w:ascii="楷体_GB2312" w:hAnsi="楷体" w:eastAsia="楷体_GB2312"/>
                <w:b/>
                <w:color w:val="000000"/>
                <w:sz w:val="24"/>
              </w:rPr>
              <w:t>千字。</w:t>
            </w:r>
          </w:p>
          <w:p>
            <w:pPr>
              <w:tabs>
                <w:tab w:val="left" w:pos="4185"/>
              </w:tabs>
              <w:snapToGrid w:val="0"/>
              <w:spacing w:line="276" w:lineRule="auto"/>
              <w:ind w:firstLine="482" w:firstLineChars="200"/>
              <w:rPr>
                <w:rFonts w:ascii="楷体_GB2312" w:hAnsi="楷体" w:eastAsia="楷体_GB2312"/>
                <w:b/>
                <w:color w:val="000000"/>
                <w:sz w:val="24"/>
              </w:rPr>
            </w:pPr>
            <w:r>
              <w:rPr>
                <w:rFonts w:hint="eastAsia" w:ascii="楷体_GB2312" w:hAnsi="楷体" w:eastAsia="楷体_GB2312"/>
                <w:b/>
                <w:color w:val="000000"/>
                <w:sz w:val="24"/>
              </w:rPr>
              <w:t>（二）学术论文</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陈兵：《我国地方反垄断执法的机理——从上海自贸区先行先试的视角》，载《法学》2017年第10期。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陈兵：《反垄断法实施与消费者保护的协同发展》，载《法学》2013年第9期。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陈兵：《简政放权下政府管制改革的法治进路——以实行负面清单模式为突破口》，载《法学》2016年第2期。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陈兵：《我国&lt;反垄断法&gt;“滥用市场支配地位”条款适用问题辨识》,载《法学》2011年第1期。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陈兵：《新经济时代从“以票控税”到“信息管税”的转向——由B2T税收征管问题引发的思考》，载《法学》2014年第12期。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陈兵,顾敏康：《&lt;谢尔曼法&gt;域外适用中“礼让”的变迁与启示——由我国“维生素C案”引发的思考》,载《法学》2010年第5期。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陈兵：《新发展格局下数据要素有序流通的市场经济法治建构》，载《社会科学战线》2022年第1期。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陈兵：《数字经济发展对市场监管的挑战与应对——以“与数据相关行为”为核心的讨论》，载《东北大学学报(社会科学版)》2019年第4期。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陈兵：《数字经济与全面依法治国共益治道变革:运行机理和实现路径》，载《学术论坛》2022年第6期。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陈兵,林思宇：《数字经济领域数据要素优化配置的法治进路——以推进平台互联互通为抓手》，载《上海财经大学学报》2022年第3期。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陈兵,林思宇：《互联网平台垄断治理机制——基于平台双轮垄断发生机理的考察》，载《中国流通经济》2021年第6期。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陈兵,郭光坤：《数据分类分级制度的定位与定则——以&lt;数据安全法&gt;为中心的展开》，载《中国特色社会主义研究》2022年第3期。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陈兵,云薇笑：《平台“二选一”行为的竞争法规制再探》，载《学习与实践》2022年第4期。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陈兵,顾丹丹：《数字经济下数据共享理路的反思与再造——以数据类型化考察为视角》，载《上海财经大学学报》2020年第2期。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陈兵,徐文：《规制平台经济领域滥用市场支配地位的法理与实践》，载《学习与实践》2021年第2期。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陈兵：《互联网新型不正当竞争行为审裁理路实证研究》，载《学术论坛》2019年第5期。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陈兵：《数字经济下相关市场界定面临的挑战及方法改进》，载《中国流通经济》2021年第2期。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陈兵：《法治视阈下数字经济发展与规制系统创新》，载《上海大学学报(社会科学版)》2019年第4期。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陈兵：《互联网新型不正当竞争行为审裁理路实证研究》，载《学术论坛》2019年第5期。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陈兵：《互联网市场支配地位认定方法再探》，载《安徽大学学报(哲学社会科学版)》2020年第6期。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陈兵：《抗击新冠肺炎疫情中个人信息保护的法治慎思》，载《社会科学辑刊》2020年第2期。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陈兵：《网络购物对消费者知情权的挑战与应对》，载《社会科学战线》2014年第5期。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陈兵：《法治经济下规制算法运行面临的挑战与响应》，载《学术论坛》2020年第1期。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陈兵：《汽车行业价格垄断协议违法性认定与法律治理》，载《法学》2015年第8期。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陈兵：《现代反垄断法语境中的消费者保护》，载《上海财经大学学报》2013年第5期。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陈兵,程前：《&lt;税收征收管理法&gt;修订下网络交易税收征管问题解读——以第三方平台管控为中心》，载《上海财经大学学报》2015年第4期。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陈兵：《互联网平台经济运行的规制基调》，载《中国特色社会主义研究》2018年第3期。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陈兵：《网络虚拟财产的法律属性及保护进路》，载《人民论坛》2020年第27期。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陈兵：《美国药品领域反向支付的反垄断司法经验解读与启示——以反垄断审查规则为线索》，载《上海财经大学学报》2018年第5期。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陈兵：《竞争法治下平台数据共享的法理与实践——以开放平台协议及运行为考察对象》，载《江海学刊》2020年第1期。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陈兵：《论反垄断法对消费者的保护——以滥用市场支配地位案件为中心》，载《湖南师范大学社会科学学报》2013年第4期。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陈兵：《法学教育应推进模拟法庭教学课程化》，载《中国大学教学》2013年第4期。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陈兵：《论全球化视阈下我国税收征管法律模式改革理路——以网络交易税征管为中心的解读》，载《中山大学学报(社会科学版)》2015年第6期。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陈兵：《我国反垄断执法十年回顾与展望——以规制滥用市场支配地位案件为例的解说》，载《学术论坛》2018年第6期。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陈兵：《网络经济下相关市场支配地位认定探析——以“3Q”案为例》，载《价格理论与实践》2015年第9期。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陈兵：《改革开放40年消费者法嵌于市场经济发展的嬗变与展望》，载《学术论坛》2018年第5期。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陈兵,马贤茹：《数字经济平台企业垄断认定完善理路》，载《上海大学学报(社会科学版)》2021年第3期。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陈兵：《法治视阈下我国农村环境治理论纲》，载《甘肃社会科学》2017年第2期。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陈兵：《法治经济语境下负面清单模式与政府管制改革》，载《东北师大学报(哲学社会科学版)》2015年第5期。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陈兵：《人工智能场景下消费者保护理路反思与重构》，载《上海财经大学学报》2019年第4期。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陈兵：《“数据垄断”:从表象到本相》，载《社会科学辑刊》2021年第2期。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陈兵,马贤茹：《供给侧改革视阈下农村环境治理法治成本检视》，载《西北农林科技大学学报(社会科学版)》2018年第4期。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陈兵,赵秉元：《数据要素市场高质量发展的竞争法治推进》，载《上海财经大学学报》2021年第2期。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陈兵,张光宇：《卓越法律人才教育培养计划与模拟法庭实践教学》，载《黑龙江高教研究》2014年第10期。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陈兵：《助力共享经济发展的法治之维》，载《学术论坛》2017年第5期。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陈兵,赵青：《我国剥削性滥用行为违法性判定基准审视——以非价格型剥削性滥用为视角》，载《上海大学学报(社会科学版)》2020年第3期。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陈兵：《美国反托拉斯法生成进路研究——以规制铁路公司垄断为线索》，载《法制与社会发展》2012年第2期。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陈兵：《从高通案看韩国规制滥用知识产权垄断新发展》，载《北京理工大学学报(社会科学版)》2019年第3期。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陈兵,程前：《分享经济对税收治理现代化的挑战与应对》，载《东北大学学报(社会科学版)》2018年第5期。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陈兵：《数字经济新业态的竞争法治调整及走向》，载《学术论坛》2020年第3期。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陈兵：《地摊经济重启与更生的法治轨道》，载《人民论坛》2020年第22期。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陈兵：《互联网平台经济发展的法治进路》，载《社会科学辑刊》2019年第2期。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陈兵：《互联网市场固化趋态的竞争法响应》，载《江汉论坛》2020年第3期。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陈兵：《搭建高校法学教育校内实践教学平台的新探索——以模拟法庭赛季为主体的尝试》，载《黑龙江高教研究》2013年第5期。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陈兵：《我国食品安全单一治理的困境与多维治理的选择》，载《江汉论坛》2014年第9期。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陈兵,高鹏程：《金融风险转移的再审视与金融监管理念之更新——从美国资产证券化问题说开》，载《学术论坛》2010年第10期。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陈兵,林思宇：《“数据+算法”双轮驱动下互联网平台生态型垄断的规制》，载《知识产权》2021年第8期。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陈兵：《“二战”后日本农业产业政策的演进及其启示——以相关立法为中心的解说》，载《农业经济问题》2014年第4期。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陈兵：《从继受到自主创新19世纪下半叶美国法上垄断概念研究》，载《中外法学》2010年第2期。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陈兵：《“双循环”下数据要素市场公平竞争的法治进路》，载《江海学刊》2021年第1期。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陈兵,徐文：《数据跨境流动的治理体系建构》，载《中国特色社会主义研究》2021年第4期。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陈兵：《有序升级消费者权益保护系统  新发展格局下扩大消费需求的关键路径》，载《人民论坛》2021年第4期。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陈兵：《平台经济数据治理的法治基调与未来走向——以“竞争与保护”的平衡为中心》，载《人民论坛·学术前沿》2021年第21期。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陈兵：《重大突发公共事件中数据治理的法治面向》，载《人民论坛》2020年Z1期。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陈兵：《信息化背景下我国消费者保护法律模式的升级——新&lt;消费者权益保护法&gt;的视角》，载《江西社会科学》2015年第3期。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陈兵,胡珍：《数字经济下统筹数据安全与发展的法治路径》，载《长白学刊》2021年第5期。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陈兵：《数字经济高质量发展中的竞争法治变革》，载《人民论坛》2020年第3期。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陈兵：《区域一体化视域下竞争执法的挑战与响应——以长三角地区为例》，载《北方法学》2020年第6期。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陈兵：《论农业产业政策与竞争政策的协调——以农业产业法规与反垄断法农业适用除外制度之关系补正为中心》，载《江汉论坛》2013年第1期。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李奉仪,陈兵,李海兰：《过去与未来:韩国竞争法实施三十年》，载《东北师大学报(哲学社会科学版)》2016年第6期。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陈兵：《美国反托拉斯法合理规则的源起——以19世纪下半叶州判例法为中心的考察》，载《法律方法》2011年第11卷。</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陈兵：《论我国现阶段反垄断法实施重点——以美国经验为参照》，载《社会科学》2013年第10期。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陈兵,俞悦：《可控型法学实践教学体系探索》，载《中国大学教学》2014年第5期。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陈兵,林思宇：《法律关系视角下冒名处分不动产的司法适用》，载《社会科学家》2019年第9期。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陈兵：《激发数据要素的生命力与创造力》，载《人民论坛》2021年Z1期。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陈兵：《论法治视阈下我国农业工业化污染协同防治体系》，载《南京农业大学学报(社会科学版)》2014年第2期。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陈兵,马贤茹：《数据要素权益配置类型化研究》，载《科技与法律(中英文)》2022年第1期。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陈兵：《我国农业利益的竞争法保护路径探析——兼谈反垄断法农业适用除外制度之改进》，载《学术论坛》2013年第6期。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陈兵,程前：《网络团购给税收监管带来的挑战与应对之策》，载《云南社会科学》2014年第6期。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陈兵：《如何实现互联网医疗市场化法治化》，载《人民论坛·学术前沿》2017年第24期。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陈兵：《建立农村环境ADR非诉讼机制探索》，载《西北农林科技大学学报(社会科学版)》2015年第5期。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陈兵,马贤茹：《互联网时代用户数据保护理路探讨》，载《东北大学学报(社会科学版)》2021年第1期。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陈兵：《加快推进数据保护与数据共享的融合发展》，载《探索与争鸣》2021年第2期。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陈兵：《共享经济需在法治轨道上运行》，载《人民论坛》2017年第34期。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陈兵,徐文：《重大突发公共卫生事件下应急交通治理的法治之维》，载《东北师大学报(哲学社会科学版)》2020年第4期。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陈兵,孙赫泽：《信用法治下房地产税的价值定位与实践进路》，载《东北师大学报(哲学社会科学版)》2019年第5期。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陈兵,石玉浩：《政策经济向法治经济转型:基于新中国七十年国家经济政策与宪法经济条款关系的考察》，载《学术论坛》2019年第4期。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陈兵：《论&lt;谢尔曼法&gt;域外适用制度及其启示——以美国20世纪70年代成型期案例考察为基础》，载《江汉论坛》2010年第4期。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陈兵：《数据时代开启消费者保护多元共治新格局》，载《东北师大学报(哲学社会科学版)》2022年第2期。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陈兵：《“法学流派”类型研究》，载《江汉论坛》2009年第7期。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金性倬,陈兵：《韩国经济法的历史、现状及改善路向》，载《学术论坛》2018年第1期。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陈兵：《不当得利的识别与最密切联系原则的适用——以美国模式为考察对象》，载《大连理工大学学报(社会科学版)》2010年第4期。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陈兵：《把社会主义核心价值观融入人工智能立法的必要与可能》，载《兰州学刊》2020年第6期。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陈兵,程前：《美国城镇化进程中财税法治功能考察与启示》，载《上海财经大学学报》2016年第6期。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陈兵：《美国法上共谋与联合限制贸易概念的生成与早期适用——以19世纪下半叶历史进路的考察为中心》，载《当代法学》2011年第2期。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陈兵,刘征：《国际视域下非政府组织生长的原因解说》，载《江汉论坛》2011年第9期。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陈兵：《新发展格局下反垄断法的使命担当》，载《人民论坛》2021年第23期。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陈兵,颜晓闽：《“托管造林”法律关系研究及展开——兼论美国最高法院1946年霍伊案》，载《西北农林科技大学学报(社会科学版)》2010年第3期。</w:t>
            </w:r>
          </w:p>
          <w:p>
            <w:pPr>
              <w:pStyle w:val="7"/>
              <w:widowControl/>
              <w:numPr>
                <w:ilvl w:val="0"/>
                <w:numId w:val="2"/>
              </w:numPr>
              <w:tabs>
                <w:tab w:val="left" w:pos="4185"/>
              </w:tabs>
              <w:snapToGrid w:val="0"/>
              <w:spacing w:line="276" w:lineRule="auto"/>
              <w:ind w:firstLineChars="0"/>
              <w:rPr>
                <w:rFonts w:ascii="楷体_GB2312" w:hAnsi="楷体" w:eastAsia="楷体_GB2312"/>
                <w:b/>
                <w:color w:val="000000"/>
                <w:sz w:val="24"/>
              </w:rPr>
            </w:pPr>
            <w:r>
              <w:rPr>
                <w:rFonts w:hint="eastAsia" w:ascii="楷体_GB2312" w:hAnsi="楷体" w:eastAsia="楷体_GB2312"/>
                <w:b/>
                <w:color w:val="000000"/>
                <w:sz w:val="24"/>
              </w:rPr>
              <w:t>陈兵,刘山：《普通法上董事侵权责任解说——由香港法院近年判例引起的思考》，载《北京理工大学学报(社会科学版)》2012年第1期。</w:t>
            </w:r>
          </w:p>
          <w:p>
            <w:pPr>
              <w:widowControl/>
              <w:tabs>
                <w:tab w:val="left" w:pos="0"/>
                <w:tab w:val="left" w:pos="4185"/>
              </w:tabs>
              <w:snapToGrid w:val="0"/>
              <w:spacing w:line="276" w:lineRule="auto"/>
              <w:rPr>
                <w:rFonts w:ascii="楷体_GB2312" w:hAnsi="楷体" w:eastAsia="楷体_GB2312"/>
                <w:b/>
                <w:color w:val="000000"/>
                <w:sz w:val="24"/>
              </w:rPr>
            </w:pPr>
            <w:r>
              <w:rPr>
                <w:rFonts w:hint="eastAsia" w:ascii="楷体_GB2312" w:hAnsi="楷体" w:eastAsia="楷体_GB2312"/>
                <w:b/>
                <w:color w:val="000000"/>
                <w:sz w:val="24"/>
              </w:rPr>
              <w:t>1</w:t>
            </w:r>
            <w:r>
              <w:rPr>
                <w:rFonts w:ascii="楷体_GB2312" w:hAnsi="楷体" w:eastAsia="楷体_GB2312"/>
                <w:b/>
                <w:color w:val="000000"/>
                <w:sz w:val="24"/>
              </w:rPr>
              <w:t>00.</w:t>
            </w:r>
            <w:r>
              <w:rPr>
                <w:rFonts w:hint="eastAsia" w:ascii="楷体_GB2312" w:hAnsi="楷体" w:eastAsia="楷体_GB2312"/>
                <w:b/>
                <w:color w:val="000000"/>
                <w:sz w:val="24"/>
              </w:rPr>
              <w:t>陈兵：《法治视域下中央与地方财税关系的改进——基于英国财税法治早期经验的思考》，载《东北师大学报(哲学社会科学版)》2017年第6期。</w:t>
            </w:r>
          </w:p>
          <w:p>
            <w:pPr>
              <w:widowControl/>
              <w:tabs>
                <w:tab w:val="left" w:pos="0"/>
                <w:tab w:val="left" w:pos="4185"/>
              </w:tabs>
              <w:snapToGrid w:val="0"/>
              <w:spacing w:line="276" w:lineRule="auto"/>
              <w:rPr>
                <w:rFonts w:ascii="楷体_GB2312" w:hAnsi="楷体" w:eastAsia="楷体_GB2312"/>
                <w:b/>
                <w:color w:val="000000"/>
                <w:sz w:val="24"/>
              </w:rPr>
            </w:pPr>
            <w:r>
              <w:rPr>
                <w:rFonts w:hint="eastAsia" w:ascii="楷体_GB2312" w:hAnsi="楷体" w:eastAsia="楷体_GB2312"/>
                <w:b/>
                <w:color w:val="000000"/>
                <w:sz w:val="24"/>
              </w:rPr>
              <w:t>1</w:t>
            </w:r>
            <w:r>
              <w:rPr>
                <w:rFonts w:ascii="楷体_GB2312" w:hAnsi="楷体" w:eastAsia="楷体_GB2312"/>
                <w:b/>
                <w:color w:val="000000"/>
                <w:sz w:val="24"/>
              </w:rPr>
              <w:t>01.</w:t>
            </w:r>
            <w:r>
              <w:rPr>
                <w:rFonts w:hint="eastAsia" w:ascii="楷体_GB2312" w:hAnsi="楷体" w:eastAsia="楷体_GB2312"/>
                <w:b/>
                <w:color w:val="000000"/>
                <w:sz w:val="24"/>
              </w:rPr>
              <w:t>陈兵:《农业市场竞争文化缺失与竞争监管缺位及其消解》，载《西北农林科技大学学报(社会科学版)》2013年第5期。</w:t>
            </w:r>
          </w:p>
          <w:p>
            <w:pPr>
              <w:widowControl/>
              <w:tabs>
                <w:tab w:val="left" w:pos="0"/>
                <w:tab w:val="left" w:pos="4185"/>
              </w:tabs>
              <w:snapToGrid w:val="0"/>
              <w:spacing w:line="276" w:lineRule="auto"/>
              <w:rPr>
                <w:rFonts w:ascii="楷体_GB2312" w:hAnsi="楷体" w:eastAsia="楷体_GB2312"/>
                <w:b/>
                <w:color w:val="000000"/>
                <w:sz w:val="24"/>
              </w:rPr>
            </w:pPr>
            <w:r>
              <w:rPr>
                <w:rFonts w:hint="eastAsia" w:ascii="楷体_GB2312" w:hAnsi="楷体" w:eastAsia="楷体_GB2312"/>
                <w:b/>
                <w:color w:val="000000"/>
                <w:sz w:val="24"/>
              </w:rPr>
              <w:t>1</w:t>
            </w:r>
            <w:r>
              <w:rPr>
                <w:rFonts w:ascii="楷体_GB2312" w:hAnsi="楷体" w:eastAsia="楷体_GB2312"/>
                <w:b/>
                <w:color w:val="000000"/>
                <w:sz w:val="24"/>
              </w:rPr>
              <w:t>02.</w:t>
            </w:r>
            <w:r>
              <w:rPr>
                <w:rFonts w:hint="eastAsia" w:ascii="楷体_GB2312" w:hAnsi="楷体" w:eastAsia="楷体_GB2312"/>
                <w:b/>
                <w:color w:val="000000"/>
                <w:sz w:val="24"/>
              </w:rPr>
              <w:t>陈兵：《灵活用工综合服务新业态发展面临的法律风险及对策探析》，载《上海大学学报(社会科学版)》2022年第3期。</w:t>
            </w:r>
          </w:p>
          <w:p>
            <w:pPr>
              <w:widowControl/>
              <w:tabs>
                <w:tab w:val="left" w:pos="0"/>
                <w:tab w:val="left" w:pos="4185"/>
              </w:tabs>
              <w:snapToGrid w:val="0"/>
              <w:spacing w:line="276" w:lineRule="auto"/>
              <w:rPr>
                <w:rFonts w:ascii="楷体_GB2312" w:hAnsi="楷体" w:eastAsia="楷体_GB2312"/>
                <w:b/>
                <w:color w:val="000000"/>
                <w:sz w:val="24"/>
              </w:rPr>
            </w:pPr>
            <w:r>
              <w:rPr>
                <w:rFonts w:hint="eastAsia" w:ascii="楷体_GB2312" w:hAnsi="楷体" w:eastAsia="楷体_GB2312"/>
                <w:b/>
                <w:color w:val="000000"/>
                <w:sz w:val="24"/>
              </w:rPr>
              <w:t>1</w:t>
            </w:r>
            <w:r>
              <w:rPr>
                <w:rFonts w:ascii="楷体_GB2312" w:hAnsi="楷体" w:eastAsia="楷体_GB2312"/>
                <w:b/>
                <w:color w:val="000000"/>
                <w:sz w:val="24"/>
              </w:rPr>
              <w:t>03.</w:t>
            </w:r>
            <w:r>
              <w:rPr>
                <w:rFonts w:hint="eastAsia" w:ascii="楷体_GB2312" w:hAnsi="楷体" w:eastAsia="楷体_GB2312"/>
                <w:b/>
                <w:color w:val="000000"/>
                <w:sz w:val="24"/>
              </w:rPr>
              <w:t>陈兵,林思宇：《构设平台互联互通下多元主体利益平衡机制方案——以新&lt;反垄断法&gt;施行为契机》,载《东北师大学报(哲学社会科学版)》2022年第6期。</w:t>
            </w:r>
          </w:p>
          <w:p>
            <w:pPr>
              <w:widowControl/>
              <w:tabs>
                <w:tab w:val="left" w:pos="0"/>
                <w:tab w:val="left" w:pos="4185"/>
              </w:tabs>
              <w:snapToGrid w:val="0"/>
              <w:spacing w:line="276" w:lineRule="auto"/>
              <w:rPr>
                <w:rFonts w:ascii="楷体_GB2312" w:hAnsi="楷体" w:eastAsia="楷体_GB2312"/>
                <w:b/>
                <w:color w:val="000000"/>
                <w:sz w:val="24"/>
              </w:rPr>
            </w:pPr>
            <w:r>
              <w:rPr>
                <w:rFonts w:hint="eastAsia" w:ascii="楷体_GB2312" w:hAnsi="楷体" w:eastAsia="楷体_GB2312"/>
                <w:b/>
                <w:color w:val="000000"/>
                <w:sz w:val="24"/>
              </w:rPr>
              <w:t>1</w:t>
            </w:r>
            <w:r>
              <w:rPr>
                <w:rFonts w:ascii="楷体_GB2312" w:hAnsi="楷体" w:eastAsia="楷体_GB2312"/>
                <w:b/>
                <w:color w:val="000000"/>
                <w:sz w:val="24"/>
              </w:rPr>
              <w:t>04.</w:t>
            </w:r>
            <w:r>
              <w:rPr>
                <w:rFonts w:hint="eastAsia" w:ascii="楷体_GB2312" w:hAnsi="楷体" w:eastAsia="楷体_GB2312"/>
                <w:b/>
                <w:color w:val="000000"/>
                <w:sz w:val="24"/>
              </w:rPr>
              <w:t>陈兵,程前：《战“疫”时期新媒体运行的法治慎思》，载《新媒体与社会》2020年第2期。</w:t>
            </w:r>
          </w:p>
          <w:p>
            <w:pPr>
              <w:widowControl/>
              <w:tabs>
                <w:tab w:val="left" w:pos="0"/>
                <w:tab w:val="left" w:pos="4185"/>
              </w:tabs>
              <w:snapToGrid w:val="0"/>
              <w:spacing w:line="276" w:lineRule="auto"/>
              <w:rPr>
                <w:rFonts w:ascii="楷体_GB2312" w:hAnsi="楷体" w:eastAsia="楷体_GB2312"/>
                <w:b/>
                <w:color w:val="000000"/>
                <w:sz w:val="24"/>
              </w:rPr>
            </w:pPr>
            <w:r>
              <w:rPr>
                <w:rFonts w:hint="eastAsia" w:ascii="楷体_GB2312" w:hAnsi="楷体" w:eastAsia="楷体_GB2312"/>
                <w:b/>
                <w:color w:val="000000"/>
                <w:sz w:val="24"/>
              </w:rPr>
              <w:t>1</w:t>
            </w:r>
            <w:r>
              <w:rPr>
                <w:rFonts w:ascii="楷体_GB2312" w:hAnsi="楷体" w:eastAsia="楷体_GB2312"/>
                <w:b/>
                <w:color w:val="000000"/>
                <w:sz w:val="24"/>
              </w:rPr>
              <w:t>05.</w:t>
            </w:r>
            <w:r>
              <w:rPr>
                <w:rFonts w:hint="eastAsia" w:ascii="楷体_GB2312" w:hAnsi="楷体" w:eastAsia="楷体_GB2312"/>
                <w:b/>
                <w:color w:val="000000"/>
                <w:sz w:val="24"/>
              </w:rPr>
              <w:t>陈兵：《推动数据要素市场化交易健康发展》，载《中国社会科学报》2022年2月22日008版。</w:t>
            </w:r>
          </w:p>
          <w:p>
            <w:pPr>
              <w:ind w:left="-359" w:leftChars="-171"/>
            </w:pPr>
          </w:p>
          <w:p>
            <w:pPr>
              <w:tabs>
                <w:tab w:val="left" w:pos="4185"/>
              </w:tabs>
              <w:snapToGrid w:val="0"/>
              <w:spacing w:line="276" w:lineRule="auto"/>
              <w:ind w:firstLine="482" w:firstLineChars="200"/>
              <w:rPr>
                <w:rFonts w:ascii="楷体_GB2312" w:hAnsi="楷体" w:eastAsia="楷体_GB2312"/>
                <w:b/>
                <w:color w:val="000000"/>
                <w:sz w:val="24"/>
              </w:rPr>
            </w:pPr>
          </w:p>
          <w:p>
            <w:pPr>
              <w:tabs>
                <w:tab w:val="left" w:pos="4185"/>
              </w:tabs>
              <w:snapToGrid w:val="0"/>
              <w:rPr>
                <w:rFonts w:ascii="楷体_GB2312" w:hAnsi="楷体" w:eastAsia="楷体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3" w:hRule="atLeast"/>
        </w:trPr>
        <w:tc>
          <w:tcPr>
            <w:tcW w:w="9000" w:type="dxa"/>
            <w:gridSpan w:val="5"/>
            <w:tcBorders>
              <w:top w:val="single" w:color="auto" w:sz="4" w:space="0"/>
              <w:bottom w:val="single" w:color="000000" w:sz="4" w:space="0"/>
            </w:tcBorders>
          </w:tcPr>
          <w:p>
            <w:pPr>
              <w:tabs>
                <w:tab w:val="left" w:pos="4185"/>
              </w:tabs>
              <w:snapToGrid w:val="0"/>
              <w:spacing w:before="156" w:beforeLines="50"/>
              <w:jc w:val="center"/>
              <w:rPr>
                <w:rFonts w:cs="Arial"/>
                <w:b/>
                <w:kern w:val="0"/>
                <w:sz w:val="30"/>
                <w:szCs w:val="30"/>
              </w:rPr>
            </w:pPr>
            <w:r>
              <w:rPr>
                <w:rFonts w:cs="Arial"/>
                <w:b/>
                <w:kern w:val="0"/>
                <w:sz w:val="30"/>
                <w:szCs w:val="30"/>
              </w:rPr>
              <w:t>获得奖项</w:t>
            </w:r>
            <w:r>
              <w:rPr>
                <w:rFonts w:hint="eastAsia" w:cs="Arial"/>
                <w:b/>
                <w:kern w:val="0"/>
                <w:sz w:val="30"/>
                <w:szCs w:val="30"/>
              </w:rPr>
              <w:t>和表彰</w:t>
            </w:r>
          </w:p>
          <w:p>
            <w:pPr>
              <w:tabs>
                <w:tab w:val="left" w:pos="4185"/>
              </w:tabs>
              <w:snapToGrid w:val="0"/>
              <w:jc w:val="center"/>
              <w:rPr>
                <w:rFonts w:ascii="楷体" w:hAnsi="楷体" w:eastAsia="楷体" w:cs="Arial"/>
                <w:b/>
                <w:kern w:val="0"/>
                <w:sz w:val="24"/>
              </w:rPr>
            </w:pPr>
            <w:r>
              <w:rPr>
                <w:rFonts w:hint="eastAsia" w:ascii="楷体" w:hAnsi="楷体" w:eastAsia="楷体" w:cs="Arial"/>
                <w:b/>
                <w:kern w:val="0"/>
                <w:sz w:val="24"/>
              </w:rPr>
              <w:t>（请注明获得时间及等级）</w:t>
            </w:r>
          </w:p>
          <w:p>
            <w:pPr>
              <w:tabs>
                <w:tab w:val="left" w:pos="4185"/>
              </w:tabs>
              <w:snapToGrid w:val="0"/>
              <w:spacing w:line="360" w:lineRule="auto"/>
              <w:ind w:firstLine="482" w:firstLineChars="200"/>
              <w:rPr>
                <w:rFonts w:asciiTheme="minorEastAsia" w:hAnsiTheme="minorEastAsia" w:eastAsiaTheme="minorEastAsia"/>
                <w:b/>
                <w:bCs/>
                <w:color w:val="000000"/>
                <w:sz w:val="24"/>
              </w:rPr>
            </w:pPr>
            <w:r>
              <w:rPr>
                <w:rFonts w:hint="eastAsia" w:asciiTheme="minorEastAsia" w:hAnsiTheme="minorEastAsia" w:eastAsiaTheme="minorEastAsia"/>
                <w:b/>
                <w:bCs/>
                <w:color w:val="000000"/>
                <w:sz w:val="24"/>
              </w:rPr>
              <w:t>一、省部级人才奖项</w:t>
            </w:r>
          </w:p>
          <w:p>
            <w:pPr>
              <w:tabs>
                <w:tab w:val="left" w:pos="4185"/>
              </w:tabs>
              <w:snapToGrid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1.2019</w:t>
            </w:r>
            <w:r>
              <w:rPr>
                <w:rFonts w:hint="eastAsia" w:asciiTheme="minorEastAsia" w:hAnsiTheme="minorEastAsia" w:eastAsiaTheme="minorEastAsia"/>
                <w:color w:val="000000"/>
                <w:sz w:val="24"/>
              </w:rPr>
              <w:t>年天津市“海河英才计划”引进领军人才（创新类）资助；</w:t>
            </w:r>
          </w:p>
          <w:p>
            <w:pPr>
              <w:tabs>
                <w:tab w:val="left" w:pos="4185"/>
              </w:tabs>
              <w:snapToGrid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2</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2018</w:t>
            </w:r>
            <w:r>
              <w:rPr>
                <w:rFonts w:hint="eastAsia" w:asciiTheme="minorEastAsia" w:hAnsiTheme="minorEastAsia" w:eastAsiaTheme="minorEastAsia"/>
                <w:color w:val="000000"/>
                <w:sz w:val="24"/>
              </w:rPr>
              <w:t>年天津市“131”创新型人才培养工程第二层次人选；</w:t>
            </w:r>
          </w:p>
          <w:p>
            <w:pPr>
              <w:tabs>
                <w:tab w:val="left" w:pos="4185"/>
              </w:tabs>
              <w:snapToGrid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3.2014</w:t>
            </w:r>
            <w:r>
              <w:rPr>
                <w:rFonts w:hint="eastAsia" w:asciiTheme="minorEastAsia" w:hAnsiTheme="minorEastAsia" w:eastAsiaTheme="minorEastAsia"/>
                <w:color w:val="000000"/>
                <w:sz w:val="24"/>
              </w:rPr>
              <w:t>年教育部与中共中央政法委员会“双千计划”人选。</w:t>
            </w:r>
          </w:p>
          <w:p>
            <w:pPr>
              <w:tabs>
                <w:tab w:val="left" w:pos="4185"/>
              </w:tabs>
              <w:snapToGrid w:val="0"/>
              <w:spacing w:line="360" w:lineRule="auto"/>
              <w:ind w:firstLine="482" w:firstLineChars="200"/>
              <w:rPr>
                <w:rFonts w:asciiTheme="minorEastAsia" w:hAnsiTheme="minorEastAsia" w:eastAsiaTheme="minorEastAsia"/>
                <w:b/>
                <w:bCs/>
                <w:color w:val="000000"/>
                <w:sz w:val="24"/>
              </w:rPr>
            </w:pPr>
            <w:r>
              <w:rPr>
                <w:rFonts w:hint="eastAsia" w:asciiTheme="minorEastAsia" w:hAnsiTheme="minorEastAsia" w:eastAsiaTheme="minorEastAsia"/>
                <w:b/>
                <w:bCs/>
                <w:color w:val="000000"/>
                <w:sz w:val="24"/>
              </w:rPr>
              <w:t>二、天津市法学会</w:t>
            </w:r>
          </w:p>
          <w:p>
            <w:pPr>
              <w:tabs>
                <w:tab w:val="left" w:pos="4185"/>
              </w:tabs>
              <w:snapToGrid w:val="0"/>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2</w:t>
            </w:r>
            <w:r>
              <w:rPr>
                <w:rFonts w:asciiTheme="minorEastAsia" w:hAnsiTheme="minorEastAsia" w:eastAsiaTheme="minorEastAsia"/>
                <w:color w:val="000000"/>
                <w:sz w:val="24"/>
              </w:rPr>
              <w:t>022</w:t>
            </w:r>
            <w:r>
              <w:rPr>
                <w:rFonts w:hint="eastAsia" w:asciiTheme="minorEastAsia" w:hAnsiTheme="minorEastAsia" w:eastAsiaTheme="minorEastAsia"/>
                <w:color w:val="000000"/>
                <w:sz w:val="24"/>
              </w:rPr>
              <w:t>年天津市优秀中青年法学家</w:t>
            </w:r>
          </w:p>
          <w:p>
            <w:pPr>
              <w:tabs>
                <w:tab w:val="left" w:pos="4185"/>
              </w:tabs>
              <w:snapToGrid w:val="0"/>
              <w:spacing w:line="360" w:lineRule="auto"/>
              <w:ind w:firstLine="482" w:firstLineChars="200"/>
              <w:rPr>
                <w:rFonts w:asciiTheme="minorEastAsia" w:hAnsiTheme="minorEastAsia" w:eastAsiaTheme="minorEastAsia"/>
                <w:b/>
                <w:bCs/>
                <w:color w:val="000000"/>
                <w:sz w:val="24"/>
              </w:rPr>
            </w:pPr>
            <w:r>
              <w:rPr>
                <w:rFonts w:hint="eastAsia" w:asciiTheme="minorEastAsia" w:hAnsiTheme="minorEastAsia" w:eastAsiaTheme="minorEastAsia"/>
                <w:b/>
                <w:bCs/>
                <w:color w:val="000000"/>
                <w:sz w:val="24"/>
              </w:rPr>
              <w:t>三、省部级科研奖项和表彰</w:t>
            </w:r>
          </w:p>
          <w:p>
            <w:pPr>
              <w:tabs>
                <w:tab w:val="left" w:pos="4185"/>
              </w:tabs>
              <w:snapToGrid w:val="0"/>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第十七届天津市社会科学优秀成果奖论文类二等奖“因应超级平台对反垄断法规制的调整”（2021，证书编号：TJSK17-2-46）；</w:t>
            </w:r>
          </w:p>
          <w:p>
            <w:pPr>
              <w:tabs>
                <w:tab w:val="left" w:pos="4185"/>
              </w:tabs>
              <w:snapToGrid w:val="0"/>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2</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第十六届天津市社会科学优秀成果奖论文类三等奖“大数据的竞争法属性及规制意义”（2019,证书编号：TJSK16-3-57）；</w:t>
            </w:r>
          </w:p>
          <w:p>
            <w:pPr>
              <w:tabs>
                <w:tab w:val="left" w:pos="4185"/>
              </w:tabs>
              <w:snapToGrid w:val="0"/>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3</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第四届天津市高校智库优秀决策咨询研究成果奖二等奖“灵活用工新业态发展显露的法治风险及对策建议”（2022）；</w:t>
            </w:r>
          </w:p>
          <w:p>
            <w:pPr>
              <w:tabs>
                <w:tab w:val="left" w:pos="4185"/>
              </w:tabs>
              <w:snapToGrid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4.</w:t>
            </w:r>
            <w:r>
              <w:rPr>
                <w:rFonts w:hint="eastAsia" w:asciiTheme="minorEastAsia" w:hAnsiTheme="minorEastAsia" w:eastAsiaTheme="minorEastAsia"/>
                <w:color w:val="000000"/>
                <w:sz w:val="24"/>
              </w:rPr>
              <w:t>2018年吉林省教学成果奖三等奖“模拟法庭教学改革与实践”；</w:t>
            </w:r>
          </w:p>
          <w:p>
            <w:pPr>
              <w:tabs>
                <w:tab w:val="left" w:pos="4185"/>
              </w:tabs>
              <w:snapToGrid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5.</w:t>
            </w:r>
            <w:r>
              <w:rPr>
                <w:rFonts w:hint="eastAsia" w:asciiTheme="minorEastAsia" w:hAnsiTheme="minorEastAsia" w:eastAsiaTheme="minorEastAsia"/>
                <w:color w:val="000000"/>
                <w:sz w:val="24"/>
              </w:rPr>
              <w:t>2014年吉林省教学成果奖三等奖“法学实践型教学（校内）平台建设”；</w:t>
            </w:r>
          </w:p>
          <w:p>
            <w:pPr>
              <w:tabs>
                <w:tab w:val="left" w:pos="4185"/>
              </w:tabs>
              <w:snapToGrid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6.2015</w:t>
            </w:r>
            <w:r>
              <w:rPr>
                <w:rFonts w:hint="eastAsia" w:asciiTheme="minorEastAsia" w:hAnsiTheme="minorEastAsia" w:eastAsiaTheme="minorEastAsia"/>
                <w:color w:val="000000"/>
                <w:sz w:val="24"/>
              </w:rPr>
              <w:t>年首届吉林省优秀法学成果三等奖“新经济时代从以票控税到信息管税的转向——由B2T税收征管问题引发的思考”；</w:t>
            </w:r>
          </w:p>
          <w:p>
            <w:pPr>
              <w:tabs>
                <w:tab w:val="left" w:pos="4185"/>
              </w:tabs>
              <w:snapToGrid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7</w:t>
            </w:r>
            <w:r>
              <w:rPr>
                <w:rFonts w:hint="eastAsia" w:asciiTheme="minorEastAsia" w:hAnsiTheme="minorEastAsia" w:eastAsiaTheme="minorEastAsia"/>
                <w:color w:val="000000"/>
                <w:sz w:val="24"/>
              </w:rPr>
              <w:t>.2004年第十二届“安子介国际贸易研究奖”学术鼓励奖“TBT给我国企业出口带来的危害及原因分析”。</w:t>
            </w:r>
          </w:p>
          <w:p>
            <w:pPr>
              <w:tabs>
                <w:tab w:val="left" w:pos="4185"/>
              </w:tabs>
              <w:snapToGrid w:val="0"/>
              <w:spacing w:line="360" w:lineRule="auto"/>
              <w:ind w:firstLine="482" w:firstLineChars="200"/>
              <w:rPr>
                <w:rFonts w:asciiTheme="minorEastAsia" w:hAnsiTheme="minorEastAsia" w:eastAsiaTheme="minorEastAsia"/>
                <w:color w:val="000000"/>
                <w:sz w:val="24"/>
              </w:rPr>
            </w:pPr>
            <w:r>
              <w:rPr>
                <w:rFonts w:hint="eastAsia" w:asciiTheme="minorEastAsia" w:hAnsiTheme="minorEastAsia" w:eastAsiaTheme="minorEastAsia"/>
                <w:b/>
                <w:bCs/>
                <w:color w:val="000000"/>
                <w:sz w:val="24"/>
              </w:rPr>
              <w:t>四、国家级学会科研奖项</w:t>
            </w:r>
          </w:p>
          <w:p>
            <w:pPr>
              <w:tabs>
                <w:tab w:val="left" w:pos="4185"/>
              </w:tabs>
              <w:snapToGrid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中国商业法研究会青年学者优秀论文三等奖“互联网平台经济运行的规制基调”（2018）；</w:t>
            </w:r>
          </w:p>
          <w:p>
            <w:pPr>
              <w:tabs>
                <w:tab w:val="left" w:pos="4185"/>
              </w:tabs>
              <w:snapToGrid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2.</w:t>
            </w:r>
            <w:r>
              <w:rPr>
                <w:rFonts w:hint="eastAsia" w:asciiTheme="minorEastAsia" w:hAnsiTheme="minorEastAsia" w:eastAsiaTheme="minorEastAsia"/>
                <w:color w:val="000000"/>
                <w:sz w:val="24"/>
              </w:rPr>
              <w:t>中国经济法学研究会中青年优秀论文三等奖“我国地方反垄断执法机理探索——以上海自贸区先行先试为视角”（2017）；</w:t>
            </w:r>
          </w:p>
          <w:p>
            <w:pPr>
              <w:tabs>
                <w:tab w:val="left" w:pos="4185"/>
              </w:tabs>
              <w:snapToGrid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3.</w:t>
            </w:r>
            <w:r>
              <w:rPr>
                <w:rFonts w:hint="eastAsia" w:asciiTheme="minorEastAsia" w:hAnsiTheme="minorEastAsia" w:eastAsiaTheme="minorEastAsia"/>
                <w:color w:val="000000"/>
                <w:sz w:val="24"/>
              </w:rPr>
              <w:t>中国财税法学研究会“中税咨询”青年优秀论文三等奖“论全球化视域下税收征管法律模式改革理路——以网络交易为中心的解读”（2015）；</w:t>
            </w:r>
          </w:p>
          <w:p>
            <w:pPr>
              <w:tabs>
                <w:tab w:val="left" w:pos="4185"/>
              </w:tabs>
              <w:snapToGrid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4.</w:t>
            </w:r>
            <w:r>
              <w:rPr>
                <w:rFonts w:hint="eastAsia" w:asciiTheme="minorEastAsia" w:hAnsiTheme="minorEastAsia" w:eastAsiaTheme="minorEastAsia"/>
                <w:color w:val="000000"/>
                <w:sz w:val="24"/>
              </w:rPr>
              <w:t>第四届中国法律文化研究成果三等奖“美国反托拉斯法生成进路研究——以规制铁路公司垄断为线索”（2015）；</w:t>
            </w:r>
          </w:p>
          <w:p>
            <w:pPr>
              <w:tabs>
                <w:tab w:val="left" w:pos="4185"/>
              </w:tabs>
              <w:snapToGrid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5.</w:t>
            </w:r>
            <w:r>
              <w:rPr>
                <w:rFonts w:hint="eastAsia" w:asciiTheme="minorEastAsia" w:hAnsiTheme="minorEastAsia" w:eastAsiaTheme="minorEastAsia"/>
                <w:color w:val="000000"/>
                <w:sz w:val="24"/>
              </w:rPr>
              <w:t>中国法学会第十一届“东北法治论坛”一等奖“法治视阈下农村环境治理论纲”（2016）；</w:t>
            </w:r>
          </w:p>
          <w:p>
            <w:pPr>
              <w:tabs>
                <w:tab w:val="left" w:pos="4185"/>
              </w:tabs>
              <w:snapToGrid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6.</w:t>
            </w:r>
            <w:r>
              <w:rPr>
                <w:rFonts w:hint="eastAsia" w:asciiTheme="minorEastAsia" w:hAnsiTheme="minorEastAsia" w:eastAsiaTheme="minorEastAsia"/>
                <w:color w:val="000000"/>
                <w:sz w:val="24"/>
              </w:rPr>
              <w:t>中国法学会第九届“东北法治论坛”一等奖“网络购物对消费者知情权的挑战与应对”（2014）；</w:t>
            </w:r>
          </w:p>
          <w:p>
            <w:pPr>
              <w:tabs>
                <w:tab w:val="left" w:pos="4185"/>
              </w:tabs>
              <w:snapToGrid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7.</w:t>
            </w:r>
            <w:r>
              <w:rPr>
                <w:rFonts w:hint="eastAsia" w:asciiTheme="minorEastAsia" w:hAnsiTheme="minorEastAsia" w:eastAsiaTheme="minorEastAsia"/>
                <w:color w:val="000000"/>
                <w:sz w:val="24"/>
              </w:rPr>
              <w:t>中国法学会第八届“东北法治论坛”一等奖“推动反垄断法实施与消费者保护协同发展”（2013）；</w:t>
            </w:r>
          </w:p>
          <w:p>
            <w:pPr>
              <w:tabs>
                <w:tab w:val="left" w:pos="4185"/>
              </w:tabs>
              <w:snapToGrid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8.</w:t>
            </w:r>
            <w:r>
              <w:rPr>
                <w:rFonts w:hint="eastAsia" w:asciiTheme="minorEastAsia" w:hAnsiTheme="minorEastAsia" w:eastAsiaTheme="minorEastAsia"/>
                <w:color w:val="000000"/>
                <w:sz w:val="24"/>
              </w:rPr>
              <w:t>中国法学会第十届“东北法治论坛”二等奖“法治经济语境下负面清单模式与政府管制改革”（2015）;</w:t>
            </w:r>
          </w:p>
          <w:p>
            <w:pPr>
              <w:tabs>
                <w:tab w:val="left" w:pos="4185"/>
              </w:tabs>
              <w:snapToGrid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9.</w:t>
            </w:r>
            <w:r>
              <w:rPr>
                <w:rFonts w:hint="eastAsia" w:asciiTheme="minorEastAsia" w:hAnsiTheme="minorEastAsia" w:eastAsiaTheme="minorEastAsia"/>
                <w:color w:val="000000"/>
                <w:sz w:val="24"/>
              </w:rPr>
              <w:t>中国法学会第七届“东北法治论坛”二等奖“论农业利益的竞争法保护”（2012）;</w:t>
            </w:r>
          </w:p>
          <w:p>
            <w:pPr>
              <w:tabs>
                <w:tab w:val="left" w:pos="4185"/>
              </w:tabs>
              <w:snapToGrid w:val="0"/>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r>
              <w:rPr>
                <w:rFonts w:asciiTheme="minorEastAsia" w:hAnsiTheme="minorEastAsia" w:eastAsiaTheme="minorEastAsia"/>
                <w:color w:val="000000"/>
                <w:sz w:val="24"/>
              </w:rPr>
              <w:t>0</w:t>
            </w:r>
            <w:r>
              <w:rPr>
                <w:rFonts w:hint="eastAsia" w:asciiTheme="minorEastAsia" w:hAnsiTheme="minorEastAsia" w:eastAsiaTheme="minorEastAsia"/>
                <w:color w:val="000000"/>
                <w:sz w:val="24"/>
              </w:rPr>
              <w:t>.中国财税法学研究会青年优秀论文一等奖“征税设计是宪政建设的核心——以《联邦党人文集》为例的解说”（2013）；</w:t>
            </w:r>
          </w:p>
          <w:p>
            <w:pPr>
              <w:tabs>
                <w:tab w:val="left" w:pos="4185"/>
              </w:tabs>
              <w:snapToGrid w:val="0"/>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中国经济法学研究会中青年优秀论文三等奖“我国《反垄断法》滥用市场支配地位条款适用问题辨识”（2010）；</w:t>
            </w:r>
          </w:p>
          <w:p>
            <w:pPr>
              <w:tabs>
                <w:tab w:val="left" w:pos="4185"/>
              </w:tabs>
              <w:snapToGrid w:val="0"/>
              <w:spacing w:line="360" w:lineRule="auto"/>
              <w:ind w:firstLine="482" w:firstLineChars="200"/>
              <w:rPr>
                <w:rFonts w:asciiTheme="minorEastAsia" w:hAnsiTheme="minorEastAsia" w:eastAsiaTheme="minorEastAsia"/>
                <w:b/>
                <w:bCs/>
                <w:color w:val="000000"/>
                <w:sz w:val="24"/>
              </w:rPr>
            </w:pPr>
            <w:r>
              <w:rPr>
                <w:rFonts w:hint="eastAsia" w:asciiTheme="minorEastAsia" w:hAnsiTheme="minorEastAsia" w:eastAsiaTheme="minorEastAsia"/>
                <w:b/>
                <w:bCs/>
                <w:color w:val="000000"/>
                <w:sz w:val="24"/>
              </w:rPr>
              <w:t>四</w:t>
            </w:r>
            <w:r>
              <w:rPr>
                <w:rFonts w:asciiTheme="minorEastAsia" w:hAnsiTheme="minorEastAsia" w:eastAsiaTheme="minorEastAsia"/>
                <w:b/>
                <w:bCs/>
                <w:color w:val="000000"/>
                <w:sz w:val="24"/>
              </w:rPr>
              <w:t>、</w:t>
            </w:r>
            <w:r>
              <w:rPr>
                <w:rFonts w:hint="eastAsia" w:asciiTheme="minorEastAsia" w:hAnsiTheme="minorEastAsia" w:eastAsiaTheme="minorEastAsia"/>
                <w:b/>
                <w:bCs/>
                <w:color w:val="000000"/>
                <w:sz w:val="24"/>
              </w:rPr>
              <w:t>其他科研奖励</w:t>
            </w:r>
          </w:p>
          <w:p>
            <w:pPr>
              <w:tabs>
                <w:tab w:val="left" w:pos="4185"/>
              </w:tabs>
              <w:snapToGrid w:val="0"/>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r>
              <w:rPr>
                <w:rFonts w:asciiTheme="minorEastAsia" w:hAnsiTheme="minorEastAsia" w:eastAsiaTheme="minorEastAsia"/>
                <w:color w:val="000000"/>
                <w:sz w:val="24"/>
              </w:rPr>
              <w:t>.2021</w:t>
            </w:r>
            <w:r>
              <w:rPr>
                <w:rFonts w:hint="eastAsia" w:asciiTheme="minorEastAsia" w:hAnsiTheme="minorEastAsia" w:eastAsiaTheme="minorEastAsia"/>
                <w:color w:val="000000"/>
                <w:sz w:val="24"/>
              </w:rPr>
              <w:t>年积极应对人口老龄化优秀研究成果优秀奖（京、津、冀三地老龄办联合组织）“天津市老年人监护制度实施的实证研究”；</w:t>
            </w:r>
          </w:p>
          <w:p>
            <w:pPr>
              <w:tabs>
                <w:tab w:val="left" w:pos="4185"/>
              </w:tabs>
              <w:snapToGrid w:val="0"/>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2</w:t>
            </w:r>
            <w:r>
              <w:rPr>
                <w:rFonts w:asciiTheme="minorEastAsia" w:hAnsiTheme="minorEastAsia" w:eastAsiaTheme="minorEastAsia"/>
                <w:color w:val="000000"/>
                <w:sz w:val="24"/>
              </w:rPr>
              <w:t>.2021</w:t>
            </w:r>
            <w:r>
              <w:rPr>
                <w:rFonts w:hint="eastAsia" w:asciiTheme="minorEastAsia" w:hAnsiTheme="minorEastAsia" w:eastAsiaTheme="minorEastAsia"/>
                <w:color w:val="000000"/>
                <w:sz w:val="24"/>
              </w:rPr>
              <w:t>年深圳社会科学院与深圳特区报联合开展“学党史悟思想 办实事开新局”建党百年征文活动三等奖“统筹发展与安全 高质量推进经济现代化”。</w:t>
            </w:r>
          </w:p>
        </w:tc>
      </w:tr>
    </w:tbl>
    <w:p>
      <w:pPr>
        <w:spacing w:line="20" w:lineRule="exact"/>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B24C2"/>
    <w:multiLevelType w:val="singleLevel"/>
    <w:tmpl w:val="CF7B24C2"/>
    <w:lvl w:ilvl="0" w:tentative="0">
      <w:start w:val="1"/>
      <w:numFmt w:val="chineseCounting"/>
      <w:suff w:val="nothing"/>
      <w:lvlText w:val="%1、"/>
      <w:lvlJc w:val="left"/>
      <w:rPr>
        <w:rFonts w:hint="eastAsia"/>
      </w:rPr>
    </w:lvl>
  </w:abstractNum>
  <w:abstractNum w:abstractNumId="1">
    <w:nsid w:val="3F3818C1"/>
    <w:multiLevelType w:val="multilevel"/>
    <w:tmpl w:val="3F3818C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xNWNjNDYyYTNmOTgxMGY2OWQ2MmJlMDMyM2M5ZmIifQ=="/>
  </w:docVars>
  <w:rsids>
    <w:rsidRoot w:val="AFFF087D"/>
    <w:rsid w:val="000C352C"/>
    <w:rsid w:val="000C6E25"/>
    <w:rsid w:val="00164ADA"/>
    <w:rsid w:val="00173DC5"/>
    <w:rsid w:val="001B2A86"/>
    <w:rsid w:val="001D6A81"/>
    <w:rsid w:val="001F796C"/>
    <w:rsid w:val="00225270"/>
    <w:rsid w:val="002408C7"/>
    <w:rsid w:val="00247E46"/>
    <w:rsid w:val="00251D15"/>
    <w:rsid w:val="00274741"/>
    <w:rsid w:val="003305E6"/>
    <w:rsid w:val="003555C7"/>
    <w:rsid w:val="003B01A3"/>
    <w:rsid w:val="00422830"/>
    <w:rsid w:val="004461CD"/>
    <w:rsid w:val="004559D5"/>
    <w:rsid w:val="004A38B5"/>
    <w:rsid w:val="004B6211"/>
    <w:rsid w:val="0052358C"/>
    <w:rsid w:val="005B0BD8"/>
    <w:rsid w:val="005D36D7"/>
    <w:rsid w:val="005D7E53"/>
    <w:rsid w:val="00626F17"/>
    <w:rsid w:val="006D2E84"/>
    <w:rsid w:val="006D2F78"/>
    <w:rsid w:val="006E6E1E"/>
    <w:rsid w:val="00741E11"/>
    <w:rsid w:val="0075634A"/>
    <w:rsid w:val="007A365C"/>
    <w:rsid w:val="007D62A8"/>
    <w:rsid w:val="00836550"/>
    <w:rsid w:val="008C02F5"/>
    <w:rsid w:val="009B7B09"/>
    <w:rsid w:val="00A10A4A"/>
    <w:rsid w:val="00A12C4D"/>
    <w:rsid w:val="00B1454F"/>
    <w:rsid w:val="00BB1C40"/>
    <w:rsid w:val="00BC6EBE"/>
    <w:rsid w:val="00BD4372"/>
    <w:rsid w:val="00D3158C"/>
    <w:rsid w:val="00D5055C"/>
    <w:rsid w:val="00E10C42"/>
    <w:rsid w:val="00E57484"/>
    <w:rsid w:val="00EE6315"/>
    <w:rsid w:val="00F00874"/>
    <w:rsid w:val="00F42ECE"/>
    <w:rsid w:val="00F44C93"/>
    <w:rsid w:val="00FB06D9"/>
    <w:rsid w:val="00FE4758"/>
    <w:rsid w:val="04483D1E"/>
    <w:rsid w:val="1EBD9178"/>
    <w:rsid w:val="2CEFB339"/>
    <w:rsid w:val="2E430A41"/>
    <w:rsid w:val="2EFBBC48"/>
    <w:rsid w:val="3B9D0C2F"/>
    <w:rsid w:val="3BBF1B45"/>
    <w:rsid w:val="3BE86437"/>
    <w:rsid w:val="3DFF8C80"/>
    <w:rsid w:val="3FAC72FC"/>
    <w:rsid w:val="3FDF6C0E"/>
    <w:rsid w:val="3FE95ABC"/>
    <w:rsid w:val="56EEFD7E"/>
    <w:rsid w:val="57B74E1B"/>
    <w:rsid w:val="57F6DA28"/>
    <w:rsid w:val="591FD8F5"/>
    <w:rsid w:val="5AAC40BB"/>
    <w:rsid w:val="5DD32290"/>
    <w:rsid w:val="5DF46E1D"/>
    <w:rsid w:val="5DFEE7D4"/>
    <w:rsid w:val="5F3743E3"/>
    <w:rsid w:val="5FBC2178"/>
    <w:rsid w:val="68FEF024"/>
    <w:rsid w:val="6F8166E3"/>
    <w:rsid w:val="6F9B4CF3"/>
    <w:rsid w:val="6FAF0381"/>
    <w:rsid w:val="6FFF2EC6"/>
    <w:rsid w:val="7A8FFAC6"/>
    <w:rsid w:val="7AFB59A5"/>
    <w:rsid w:val="7BDFCBFF"/>
    <w:rsid w:val="7CFECE28"/>
    <w:rsid w:val="7DB18C74"/>
    <w:rsid w:val="7DBAEB37"/>
    <w:rsid w:val="7DBF1A34"/>
    <w:rsid w:val="7DEB2C32"/>
    <w:rsid w:val="7DFF523D"/>
    <w:rsid w:val="7E5F3199"/>
    <w:rsid w:val="7EF35ADA"/>
    <w:rsid w:val="7F7B04A8"/>
    <w:rsid w:val="7F7EF37E"/>
    <w:rsid w:val="7FA5EC14"/>
    <w:rsid w:val="7FD7D6B2"/>
    <w:rsid w:val="7FF37BAA"/>
    <w:rsid w:val="9DBC5BFE"/>
    <w:rsid w:val="A7EB79A2"/>
    <w:rsid w:val="ABC2528A"/>
    <w:rsid w:val="ABFD3B40"/>
    <w:rsid w:val="AE8F304D"/>
    <w:rsid w:val="AFFF087D"/>
    <w:rsid w:val="B7D56515"/>
    <w:rsid w:val="B9EF54B5"/>
    <w:rsid w:val="BE3FDE16"/>
    <w:rsid w:val="BEFF65E4"/>
    <w:rsid w:val="D7371D03"/>
    <w:rsid w:val="D7FE4373"/>
    <w:rsid w:val="DE7F24A6"/>
    <w:rsid w:val="ED661AE8"/>
    <w:rsid w:val="EDFF9236"/>
    <w:rsid w:val="EEFDCF1B"/>
    <w:rsid w:val="EF358C7A"/>
    <w:rsid w:val="EFBFEC5E"/>
    <w:rsid w:val="F2715785"/>
    <w:rsid w:val="F3D759E3"/>
    <w:rsid w:val="F7AF7DD2"/>
    <w:rsid w:val="FAFBA160"/>
    <w:rsid w:val="FBDBA10B"/>
    <w:rsid w:val="FBF77622"/>
    <w:rsid w:val="FE7F89ED"/>
    <w:rsid w:val="FF6D7F3E"/>
    <w:rsid w:val="FFAD001C"/>
    <w:rsid w:val="FFBF67D3"/>
    <w:rsid w:val="FFD77033"/>
    <w:rsid w:val="FFDF0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6">
    <w:name w:val="Hyperlink"/>
    <w:basedOn w:val="5"/>
    <w:semiHidden/>
    <w:unhideWhenUsed/>
    <w:uiPriority w:val="0"/>
    <w:rPr>
      <w:color w:val="0000FF"/>
      <w:u w:val="single"/>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13525</Words>
  <Characters>14355</Characters>
  <Lines>148</Lines>
  <Paragraphs>41</Paragraphs>
  <TotalTime>18</TotalTime>
  <ScaleCrop>false</ScaleCrop>
  <LinksUpToDate>false</LinksUpToDate>
  <CharactersWithSpaces>14484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2023-02-27T23:10:00Z</dcterms:created>
  <dc:creator>fxhuser</dc:creator>
  <cp:lastModifiedBy>执牛耳</cp:lastModifiedBy>
  <cp:lastPrinted>2022-12-28T16:41:00Z</cp:lastPrinted>
  <dcterms:modified xsi:type="dcterms:W3CDTF">2023-04-27T07:49:28Z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085233E8AB1043D9825B446D93ABEF5A</vt:lpwstr>
  </property>
</Properties>
</file>