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1483995" cy="142875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700" w:lineRule="exact"/>
        <w:jc w:val="center"/>
        <w:rPr>
          <w:rFonts w:ascii="方正小标宋_GBK" w:hAnsi="Times New Roman" w:eastAsia="方正小标宋_GBK"/>
          <w:b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hAnsi="Times New Roman" w:eastAsia="方正小标宋_GBK"/>
          <w:b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bCs/>
          <w:sz w:val="44"/>
          <w:szCs w:val="44"/>
        </w:rPr>
        <w:t>推荐表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rPr>
          <w:rFonts w:ascii="Times New Roman" w:hAnsi="Times New Roman"/>
          <w:sz w:val="28"/>
          <w:szCs w:val="28"/>
        </w:rPr>
      </w:pPr>
    </w:p>
    <w:p>
      <w:pPr>
        <w:snapToGrid w:val="0"/>
        <w:rPr>
          <w:rFonts w:ascii="Times New Roman" w:hAnsi="Times New Roman"/>
          <w:sz w:val="28"/>
          <w:szCs w:val="28"/>
        </w:rPr>
      </w:pPr>
    </w:p>
    <w:p>
      <w:pPr>
        <w:snapToGrid w:val="0"/>
        <w:rPr>
          <w:rFonts w:ascii="Times New Roman" w:hAnsi="Times New Roman"/>
          <w:sz w:val="28"/>
          <w:szCs w:val="28"/>
        </w:rPr>
      </w:pPr>
    </w:p>
    <w:p>
      <w:pPr>
        <w:snapToGrid w:val="0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姓    名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          喻海松         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rPr>
          <w:rFonts w:ascii="Times New Roman" w:hAnsi="Times New Roman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工作单位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       最高人民法院      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</w:t>
      </w:r>
    </w:p>
    <w:p>
      <w:pPr>
        <w:snapToGrid w:val="0"/>
        <w:rPr>
          <w:rFonts w:ascii="Times New Roman" w:hAnsi="Times New Roman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ascii="Times New Roman" w:hAnsi="Times New Roman" w:eastAsia="仿宋_GB2312"/>
          <w:b/>
          <w:bCs/>
          <w:szCs w:val="21"/>
          <w:u w:val="singl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推荐单位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  <w:lang w:eastAsia="zh-CN"/>
        </w:rPr>
        <w:t>中国刑法学研究会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rPr>
          <w:rFonts w:ascii="Times New Roman" w:hAnsi="Times New Roman" w:eastAsia="仿宋_GB2312"/>
          <w:b/>
          <w:bCs/>
          <w:szCs w:val="21"/>
          <w:u w:val="single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  <w:lang w:eastAsia="zh-CN"/>
        </w:rPr>
        <w:t>中国法学会审判理论研究会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rPr>
          <w:rFonts w:ascii="Times New Roman" w:hAnsi="Times New Roman" w:eastAsia="仿宋_GB2312"/>
          <w:b/>
          <w:bCs/>
          <w:szCs w:val="21"/>
          <w:u w:val="single"/>
        </w:rPr>
      </w:pPr>
    </w:p>
    <w:p>
      <w:pPr>
        <w:snapToGrid w:val="0"/>
        <w:rPr>
          <w:rFonts w:ascii="Times New Roman" w:hAnsi="Times New Roman" w:eastAsia="仿宋_GB2312"/>
          <w:b/>
          <w:bCs/>
          <w:szCs w:val="21"/>
          <w:u w:val="single"/>
        </w:rPr>
      </w:pPr>
    </w:p>
    <w:p>
      <w:pPr>
        <w:snapToGrid w:val="0"/>
        <w:rPr>
          <w:rFonts w:ascii="Times New Roman" w:hAnsi="Times New Roman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ascii="Times New Roman" w:hAnsi="Times New Roman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ascii="Times New Roman" w:hAnsi="Times New Roman"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"mailto:本表电子版发至邮箱qnfxj2016@126.com"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喻海松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114300" distR="114300">
                  <wp:extent cx="1122045" cy="1524000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1980年6月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高级法官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刑事处处长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最高人民法院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北京市东城区东交民巷27号最高人民法院研究室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深入学习贯彻习近平法治思想，</w:t>
            </w:r>
            <w:r>
              <w:rPr>
                <w:rFonts w:hint="eastAsia" w:ascii="Times New Roman" w:hAnsi="Times New Roman"/>
                <w:sz w:val="24"/>
              </w:rPr>
              <w:t>坚持理论研究的实务导向，紧紧围绕新形势下刑事法治领域的新情况、新问题开展研究，运用马克思主义的立场、观点、方法，探索中国刑事法治的现实问题，开拓刑事法学研究的前沿课题，在</w:t>
            </w:r>
            <w:r>
              <w:rPr>
                <w:rFonts w:hint="eastAsia" w:ascii="黑体" w:hAnsi="黑体" w:eastAsia="黑体"/>
                <w:b/>
                <w:sz w:val="24"/>
              </w:rPr>
              <w:t>新类型犯罪、特别是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信息网络犯罪和环境资源犯罪方面</w:t>
            </w:r>
            <w:r>
              <w:rPr>
                <w:rFonts w:hint="eastAsia" w:ascii="宋体" w:hAnsi="宋体"/>
                <w:bCs/>
                <w:sz w:val="24"/>
              </w:rPr>
              <w:t>取得具有原创意义的研究成果。</w:t>
            </w:r>
            <w:r>
              <w:rPr>
                <w:rFonts w:hint="eastAsia" w:ascii="黑体" w:hAnsi="黑体" w:eastAsia="黑体"/>
                <w:b/>
                <w:sz w:val="24"/>
              </w:rPr>
              <w:t>出版学术独著七部</w:t>
            </w:r>
            <w:r>
              <w:rPr>
                <w:rFonts w:hint="eastAsia" w:ascii="宋体" w:hAnsi="宋体"/>
                <w:sz w:val="24"/>
              </w:rPr>
              <w:t>，其中《网络犯罪二十讲》《环境资源犯罪实务精释》对理论研究和实务操作产生重大影响。</w:t>
            </w:r>
            <w:r>
              <w:rPr>
                <w:rFonts w:ascii="Times New Roman" w:hAnsi="Times New Roman"/>
                <w:sz w:val="24"/>
              </w:rPr>
              <w:t>在</w:t>
            </w:r>
            <w:r>
              <w:rPr>
                <w:rFonts w:hint="eastAsia" w:ascii="Times New Roman" w:hAnsi="Times New Roman"/>
                <w:sz w:val="24"/>
              </w:rPr>
              <w:t>《中外法学》《体育科学》《法学》《法律科学》《政法论坛》《法学评论》《政治与法律》《中国刑事法杂志》《国家检察官学院学报》《中国法律评论》《法律适用》《中国应用法学》等刊物</w:t>
            </w:r>
            <w:r>
              <w:rPr>
                <w:rFonts w:ascii="黑体" w:hAnsi="黑体" w:eastAsia="黑体"/>
                <w:b/>
                <w:sz w:val="24"/>
              </w:rPr>
              <w:t>发表论文</w:t>
            </w:r>
            <w:r>
              <w:rPr>
                <w:rFonts w:hint="eastAsia" w:ascii="黑体" w:hAnsi="黑体" w:eastAsia="黑体"/>
                <w:b/>
                <w:sz w:val="24"/>
              </w:rPr>
              <w:t>七十余</w:t>
            </w:r>
            <w:r>
              <w:rPr>
                <w:rFonts w:ascii="黑体" w:hAnsi="黑体" w:eastAsia="黑体"/>
                <w:b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多篇</w:t>
            </w:r>
            <w:r>
              <w:rPr>
                <w:rFonts w:ascii="Times New Roman" w:hAnsi="Times New Roman"/>
                <w:sz w:val="24"/>
              </w:rPr>
              <w:t>被人大报刊复印资料《刑事法学》全文转载。</w:t>
            </w:r>
            <w:r>
              <w:rPr>
                <w:rFonts w:hint="eastAsia" w:ascii="宋体" w:hAnsi="宋体"/>
                <w:sz w:val="24"/>
              </w:rPr>
              <w:t>合著、参编学术著作、教材等二十余部。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主要包括：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（一）代表性专著和论文（7部/篇）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网络犯罪二十讲</w:t>
            </w:r>
            <w:r>
              <w:rPr>
                <w:rFonts w:hint="eastAsia" w:ascii="宋体" w:hAnsi="宋体"/>
                <w:sz w:val="24"/>
              </w:rPr>
              <w:t>》（独著），法律出版社2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年第1版、20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年第2版，</w:t>
            </w:r>
            <w:r>
              <w:rPr>
                <w:rFonts w:ascii="宋体" w:hAnsi="宋体"/>
                <w:sz w:val="24"/>
              </w:rPr>
              <w:t>64</w:t>
            </w:r>
            <w:r>
              <w:rPr>
                <w:rFonts w:hint="eastAsia" w:ascii="宋体" w:hAnsi="宋体"/>
                <w:sz w:val="24"/>
              </w:rPr>
              <w:t>万字，第1版获中国刑法学研究会“</w:t>
            </w:r>
            <w:r>
              <w:rPr>
                <w:rFonts w:hint="eastAsia" w:ascii="黑体" w:hAnsi="黑体" w:eastAsia="黑体"/>
                <w:b/>
                <w:sz w:val="24"/>
              </w:rPr>
              <w:t>全国刑法学优秀学术著作奖（2014-2020）</w:t>
            </w:r>
            <w:r>
              <w:rPr>
                <w:rFonts w:hint="eastAsia" w:ascii="宋体" w:hAnsi="宋体"/>
                <w:sz w:val="24"/>
              </w:rPr>
              <w:t>”二等奖，第2版入选法律出版社“</w:t>
            </w: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  <w:r>
              <w:rPr>
                <w:rFonts w:ascii="黑体" w:hAnsi="黑体" w:eastAsia="黑体"/>
                <w:b/>
                <w:sz w:val="24"/>
              </w:rPr>
              <w:t>022</w:t>
            </w:r>
            <w:r>
              <w:rPr>
                <w:rFonts w:hint="eastAsia" w:ascii="黑体" w:hAnsi="黑体" w:eastAsia="黑体"/>
                <w:b/>
                <w:sz w:val="24"/>
              </w:rPr>
              <w:t>年度十大好书</w:t>
            </w:r>
            <w:r>
              <w:rPr>
                <w:rFonts w:hint="eastAsia" w:ascii="宋体" w:hAnsi="宋体"/>
                <w:sz w:val="24"/>
              </w:rPr>
              <w:t>”，中国知网统计的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271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环境资源犯罪实务精释</w:t>
            </w:r>
            <w:r>
              <w:rPr>
                <w:rFonts w:hint="eastAsia" w:ascii="宋体" w:hAnsi="宋体"/>
                <w:sz w:val="24"/>
              </w:rPr>
              <w:t>》（独著），法律出版社2017年版，</w:t>
            </w:r>
            <w:r>
              <w:rPr>
                <w:rFonts w:ascii="宋体" w:hAnsi="宋体"/>
                <w:sz w:val="24"/>
              </w:rPr>
              <w:t>66</w:t>
            </w:r>
            <w:r>
              <w:rPr>
                <w:rFonts w:hint="eastAsia" w:ascii="宋体" w:hAnsi="宋体"/>
                <w:sz w:val="24"/>
              </w:rPr>
              <w:t>万字（含附录），中国知网统计的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118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黑体" w:hAnsi="黑体" w:eastAsia="黑体"/>
                <w:b/>
                <w:sz w:val="24"/>
              </w:rPr>
              <w:t>德国犯罪构造体系的百年演变与启示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中外法学</w:t>
            </w:r>
            <w:r>
              <w:rPr>
                <w:rFonts w:hint="eastAsia" w:ascii="宋体" w:hAnsi="宋体"/>
                <w:sz w:val="24"/>
              </w:rPr>
              <w:t>》2012年第3期，1</w:t>
            </w:r>
            <w:r>
              <w:rPr>
                <w:rFonts w:ascii="宋体" w:hAnsi="宋体"/>
                <w:sz w:val="24"/>
              </w:rPr>
              <w:t>.8</w:t>
            </w:r>
            <w:r>
              <w:rPr>
                <w:rFonts w:hint="eastAsia" w:ascii="宋体" w:hAnsi="宋体"/>
                <w:sz w:val="24"/>
              </w:rPr>
              <w:t>万字，中国知网统计的被引用数为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刑事电子数据的规制路径与重点问题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环球法律评论</w:t>
            </w:r>
            <w:r>
              <w:rPr>
                <w:rFonts w:hint="eastAsia" w:ascii="宋体" w:hAnsi="宋体"/>
                <w:sz w:val="24"/>
              </w:rPr>
              <w:t>》2019年第1期，1</w:t>
            </w:r>
            <w:r>
              <w:rPr>
                <w:rFonts w:ascii="宋体" w:hAnsi="宋体"/>
                <w:sz w:val="24"/>
              </w:rPr>
              <w:t>.6</w:t>
            </w:r>
            <w:r>
              <w:rPr>
                <w:rFonts w:hint="eastAsia" w:ascii="宋体" w:hAnsi="宋体"/>
                <w:sz w:val="24"/>
              </w:rPr>
              <w:t>万字，中国知网统计的被引用数为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黑体" w:hAnsi="黑体" w:eastAsia="黑体"/>
                <w:b/>
                <w:sz w:val="24"/>
              </w:rPr>
              <w:t>罪名司法确定的实践逻辑与理论探究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法学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年第1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期，2万字，中国知网统计的被引用数为6；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黑体" w:hAnsi="黑体" w:eastAsia="黑体"/>
                <w:b/>
                <w:sz w:val="24"/>
              </w:rPr>
              <w:t>网络犯罪形态的碎片化与刑事治理的体系化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法律科学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年第3期，2万字，</w:t>
            </w:r>
            <w:r>
              <w:rPr>
                <w:rFonts w:hint="eastAsia" w:ascii="黑体" w:hAnsi="黑体" w:eastAsia="黑体"/>
                <w:b/>
                <w:sz w:val="24"/>
              </w:rPr>
              <w:t>人大</w:t>
            </w:r>
            <w:r>
              <w:rPr>
                <w:rFonts w:ascii="黑体" w:hAnsi="黑体" w:eastAsia="黑体"/>
                <w:b/>
                <w:sz w:val="24"/>
              </w:rPr>
              <w:t>报刊</w:t>
            </w:r>
            <w:r>
              <w:rPr>
                <w:rFonts w:hint="eastAsia" w:ascii="黑体" w:hAnsi="黑体" w:eastAsia="黑体"/>
                <w:b/>
                <w:sz w:val="24"/>
              </w:rPr>
              <w:t>复印资料《刑事法学》20</w:t>
            </w:r>
            <w:r>
              <w:rPr>
                <w:rFonts w:ascii="黑体" w:hAnsi="黑体" w:eastAsia="黑体"/>
                <w:b/>
                <w:sz w:val="24"/>
              </w:rPr>
              <w:t>22</w:t>
            </w:r>
            <w:r>
              <w:rPr>
                <w:rFonts w:hint="eastAsia" w:ascii="黑体" w:hAnsi="黑体" w:eastAsia="黑体"/>
                <w:b/>
                <w:sz w:val="24"/>
              </w:rPr>
              <w:t>年第</w:t>
            </w:r>
            <w:r>
              <w:rPr>
                <w:rFonts w:ascii="黑体" w:hAnsi="黑体" w:eastAsia="黑体"/>
                <w:b/>
                <w:sz w:val="24"/>
              </w:rPr>
              <w:t>7</w:t>
            </w:r>
            <w:r>
              <w:rPr>
                <w:rFonts w:hint="eastAsia" w:ascii="黑体" w:hAnsi="黑体" w:eastAsia="黑体"/>
                <w:b/>
                <w:sz w:val="24"/>
              </w:rPr>
              <w:t>期全文转载</w:t>
            </w:r>
            <w:r>
              <w:rPr>
                <w:rFonts w:hint="eastAsia" w:ascii="宋体" w:hAnsi="宋体"/>
                <w:sz w:val="24"/>
              </w:rPr>
              <w:t>，中国知网统计的被引用数为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黑体" w:hAnsi="黑体" w:eastAsia="黑体"/>
                <w:b/>
                <w:sz w:val="24"/>
              </w:rPr>
              <w:t>立法与司法交互视域下网络犯罪规制路径总置评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政法论坛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hint="eastAsia" w:ascii="宋体" w:hAnsi="宋体"/>
                <w:sz w:val="24"/>
              </w:rPr>
              <w:t>年第1期，2万字。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（二）其他专著（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部）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1．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实务刑法评注</w:t>
            </w:r>
            <w:r>
              <w:rPr>
                <w:rFonts w:hint="eastAsia" w:ascii="宋体" w:hAnsi="宋体"/>
                <w:sz w:val="24"/>
              </w:rPr>
              <w:t>》（单独编著），北京大学出版社2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年版；该书定位为“一部实务工作者写给实务工作者的刑法工具书”，囊括现行有效的全部刑法规则并加以评析注解，达到</w:t>
            </w: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  <w:r>
              <w:rPr>
                <w:rFonts w:ascii="黑体" w:hAnsi="黑体" w:eastAsia="黑体"/>
                <w:b/>
                <w:sz w:val="24"/>
              </w:rPr>
              <w:t>81</w:t>
            </w:r>
            <w:r>
              <w:rPr>
                <w:rFonts w:hint="eastAsia" w:ascii="黑体" w:hAnsi="黑体" w:eastAsia="黑体"/>
                <w:b/>
                <w:sz w:val="24"/>
              </w:rPr>
              <w:t>万字</w:t>
            </w:r>
            <w:r>
              <w:rPr>
                <w:rFonts w:hint="eastAsia" w:ascii="宋体" w:hAnsi="宋体"/>
                <w:sz w:val="24"/>
              </w:rPr>
              <w:t>，自2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年8月出版后三个月之内</w:t>
            </w:r>
            <w:r>
              <w:rPr>
                <w:rFonts w:hint="eastAsia" w:ascii="黑体" w:hAnsi="黑体" w:eastAsia="黑体"/>
                <w:b/>
                <w:sz w:val="24"/>
              </w:rPr>
              <w:t>印刷四次</w:t>
            </w:r>
            <w:r>
              <w:rPr>
                <w:rFonts w:hint="eastAsia" w:ascii="宋体" w:hAnsi="宋体"/>
                <w:sz w:val="24"/>
              </w:rPr>
              <w:t>，广受刑法理论研究者和实务工作者赞誉；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刑事诉讼法修改与司法适用疑难解析</w:t>
            </w:r>
            <w:r>
              <w:rPr>
                <w:rFonts w:hint="eastAsia" w:ascii="宋体" w:hAnsi="宋体"/>
                <w:sz w:val="24"/>
              </w:rPr>
              <w:t>》（独著），北京大学出版社2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年版，6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万字（含附录），中国知网统计的被引用数为1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3．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侵犯公民个人信息罪司法解释理解与适用</w:t>
            </w:r>
            <w:r>
              <w:rPr>
                <w:rFonts w:hint="eastAsia" w:ascii="宋体" w:hAnsi="宋体"/>
                <w:sz w:val="24"/>
              </w:rPr>
              <w:t>》（独著），中国法制出版社2018年版，22万字（含附录），中国知网统计的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被引用数为1</w:t>
            </w:r>
            <w:r>
              <w:rPr>
                <w:rFonts w:ascii="黑体" w:hAnsi="黑体" w:eastAsia="黑体"/>
                <w:b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4</w:t>
            </w:r>
            <w:r>
              <w:rPr>
                <w:rFonts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文物犯罪理论与实务</w:t>
            </w:r>
            <w:r>
              <w:rPr>
                <w:rFonts w:hint="eastAsia" w:ascii="宋体" w:hAnsi="宋体"/>
                <w:sz w:val="24"/>
              </w:rPr>
              <w:t>》（独著），法律出版社2016年版，34万字（含附录）；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5</w:t>
            </w:r>
            <w:r>
              <w:rPr>
                <w:rFonts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黑体" w:hAnsi="黑体" w:eastAsia="黑体"/>
                <w:b/>
                <w:sz w:val="24"/>
              </w:rPr>
              <w:t>刑法的扩张</w:t>
            </w:r>
            <w:r>
              <w:rPr>
                <w:rFonts w:hint="eastAsia" w:ascii="宋体" w:hAnsi="宋体"/>
                <w:sz w:val="24"/>
              </w:rPr>
              <w:t>》（独著），人民法院出版社2015年版，48万字（含附录），中国知网统计的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204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36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（三）其他主要学术论文（</w:t>
            </w:r>
            <w:r>
              <w:rPr>
                <w:rFonts w:ascii="宋体" w:hAnsi="宋体"/>
                <w:b/>
                <w:color w:val="000000"/>
                <w:sz w:val="24"/>
              </w:rPr>
              <w:t>22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篇）</w:t>
            </w:r>
          </w:p>
          <w:p>
            <w:pPr>
              <w:spacing w:line="436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《偷渡犯罪规制的理念调适与实务展开——以妨害国（边）境管理犯罪指导意见为中心》（独著），《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政治与法律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期，2万字；</w:t>
            </w:r>
          </w:p>
          <w:p>
            <w:pPr>
              <w:spacing w:line="436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《〈</w:t>
            </w:r>
            <w:r>
              <w:rPr>
                <w:rFonts w:ascii="宋体" w:hAnsi="宋体"/>
                <w:sz w:val="24"/>
              </w:rPr>
              <w:t>刑法修正案（十一）</w:t>
            </w:r>
            <w:r>
              <w:rPr>
                <w:rFonts w:hint="eastAsia" w:ascii="宋体" w:hAnsi="宋体"/>
                <w:sz w:val="24"/>
              </w:rPr>
              <w:t>后时代药品犯罪圈的重置》（独著），《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法学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期，2万字；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“刑法先行”路径下侵犯公民个人信息罪犯罪圈的调适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中国法律评论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帮助信息网络犯罪活动罪的司法限定与具体展开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国家检察官学院学报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林权制度改革背景下伐木犯罪的调整思路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法学评论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年第5期，2万字；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妨害兴奋剂管理罪的成立要件与衔接适用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北京体育大学学报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年第8期，1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兴奋剂犯罪刑法规制的基本问题——以</w:t>
            </w:r>
            <w:r>
              <w:rPr>
                <w:rFonts w:hint="eastAsia" w:ascii="宋体" w:hAnsi="宋体"/>
                <w:sz w:val="24"/>
              </w:rPr>
              <w:t>〈</w:t>
            </w:r>
            <w:r>
              <w:rPr>
                <w:rFonts w:ascii="宋体" w:hAnsi="宋体"/>
                <w:sz w:val="24"/>
              </w:rPr>
              <w:t>中华人民共和国刑法修正案（十一）</w:t>
            </w:r>
            <w:r>
              <w:rPr>
                <w:rFonts w:hint="eastAsia" w:ascii="宋体" w:hAnsi="宋体"/>
                <w:sz w:val="24"/>
              </w:rPr>
              <w:t>〉</w:t>
            </w:r>
            <w:r>
              <w:rPr>
                <w:rFonts w:ascii="宋体" w:hAnsi="宋体"/>
                <w:sz w:val="24"/>
              </w:rPr>
              <w:t>的相关规定为中心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体育科学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年第1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8.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网络外挂罪名适用的困境与转向——兼谈</w:t>
            </w:r>
            <w:r>
              <w:rPr>
                <w:rFonts w:hint="eastAsia" w:ascii="宋体" w:hAnsi="宋体"/>
                <w:sz w:val="24"/>
              </w:rPr>
              <w:t>〈</w:t>
            </w:r>
            <w:r>
              <w:rPr>
                <w:rFonts w:ascii="宋体" w:hAnsi="宋体"/>
                <w:sz w:val="24"/>
              </w:rPr>
              <w:t>刑法修正案（十一）</w:t>
            </w:r>
            <w:r>
              <w:rPr>
                <w:rFonts w:hint="eastAsia" w:ascii="宋体" w:hAnsi="宋体"/>
                <w:sz w:val="24"/>
              </w:rPr>
              <w:t>〉</w:t>
            </w:r>
            <w:r>
              <w:rPr>
                <w:rFonts w:ascii="宋体" w:hAnsi="宋体"/>
                <w:sz w:val="24"/>
              </w:rPr>
              <w:t>关于侵犯著作权罪修改的启示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政治与法律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年第8期，2万字，中国知网统计的被引用数为2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9.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动物犯罪司法规则体系的革新——以新近相关立法调整为契机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中国刑事法杂志</w:t>
            </w:r>
            <w:r>
              <w:rPr>
                <w:rFonts w:hint="eastAsia" w:ascii="宋体" w:hAnsi="宋体"/>
                <w:sz w:val="24"/>
              </w:rPr>
              <w:t>》20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期，2万字；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10.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网络犯罪黑灰产业链的样态与规制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国家检察官学院学报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年第1期，1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被引用数为5</w:t>
            </w:r>
            <w:r>
              <w:rPr>
                <w:rFonts w:ascii="黑体" w:hAnsi="黑体" w:eastAsia="黑体"/>
                <w:b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11.</w:t>
            </w:r>
            <w:r>
              <w:rPr>
                <w:rFonts w:hint="eastAsia" w:ascii="宋体" w:hAnsi="宋体"/>
                <w:sz w:val="24"/>
              </w:rPr>
              <w:t>《〈</w:t>
            </w:r>
            <w:r>
              <w:rPr>
                <w:rFonts w:ascii="宋体" w:hAnsi="宋体"/>
                <w:sz w:val="24"/>
              </w:rPr>
              <w:t>民法典</w:t>
            </w:r>
            <w:r>
              <w:rPr>
                <w:rFonts w:hint="eastAsia" w:ascii="宋体" w:hAnsi="宋体"/>
                <w:sz w:val="24"/>
              </w:rPr>
              <w:t>〉</w:t>
            </w:r>
            <w:r>
              <w:rPr>
                <w:rFonts w:ascii="宋体" w:hAnsi="宋体"/>
                <w:sz w:val="24"/>
              </w:rPr>
              <w:t>视域下侵犯公民个人信息罪的司法适用</w:t>
            </w:r>
            <w:r>
              <w:rPr>
                <w:rFonts w:hint="eastAsia" w:ascii="宋体" w:hAnsi="宋体"/>
                <w:sz w:val="24"/>
              </w:rPr>
              <w:t>》（独著），《</w:t>
            </w:r>
            <w:r>
              <w:rPr>
                <w:rFonts w:ascii="宋体" w:hAnsi="宋体"/>
                <w:sz w:val="24"/>
              </w:rPr>
              <w:t>北京航空航天大学学报(社会科学版)</w:t>
            </w:r>
            <w:r>
              <w:rPr>
                <w:rFonts w:hint="eastAsia" w:ascii="宋体" w:hAnsi="宋体"/>
                <w:sz w:val="24"/>
              </w:rPr>
              <w:t>》2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hint="eastAsia" w:ascii="宋体" w:hAnsi="宋体"/>
                <w:sz w:val="24"/>
              </w:rPr>
              <w:t>年第6期，1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万字，</w:t>
            </w:r>
            <w:r>
              <w:rPr>
                <w:rFonts w:hint="eastAsia" w:ascii="黑体" w:hAnsi="黑体" w:eastAsia="黑体"/>
                <w:b/>
                <w:sz w:val="24"/>
              </w:rPr>
              <w:t>人大</w:t>
            </w:r>
            <w:r>
              <w:rPr>
                <w:rFonts w:ascii="黑体" w:hAnsi="黑体" w:eastAsia="黑体"/>
                <w:b/>
                <w:sz w:val="24"/>
              </w:rPr>
              <w:t>报刊</w:t>
            </w:r>
            <w:r>
              <w:rPr>
                <w:rFonts w:hint="eastAsia" w:ascii="黑体" w:hAnsi="黑体" w:eastAsia="黑体"/>
                <w:b/>
                <w:sz w:val="24"/>
              </w:rPr>
              <w:t>复印资料《刑事法学》20</w:t>
            </w:r>
            <w:r>
              <w:rPr>
                <w:rFonts w:ascii="黑体" w:hAnsi="黑体" w:eastAsia="黑体"/>
                <w:b/>
                <w:sz w:val="24"/>
              </w:rPr>
              <w:t>21</w:t>
            </w:r>
            <w:r>
              <w:rPr>
                <w:rFonts w:hint="eastAsia" w:ascii="黑体" w:hAnsi="黑体" w:eastAsia="黑体"/>
                <w:b/>
                <w:sz w:val="24"/>
              </w:rPr>
              <w:t>年第</w:t>
            </w:r>
            <w:r>
              <w:rPr>
                <w:rFonts w:ascii="黑体" w:hAnsi="黑体" w:eastAsia="黑体"/>
                <w:b/>
                <w:sz w:val="24"/>
              </w:rPr>
              <w:t>4</w:t>
            </w:r>
            <w:r>
              <w:rPr>
                <w:rFonts w:hint="eastAsia" w:ascii="黑体" w:hAnsi="黑体" w:eastAsia="黑体"/>
                <w:b/>
                <w:sz w:val="24"/>
              </w:rPr>
              <w:t>期全文转载</w:t>
            </w:r>
            <w:r>
              <w:rPr>
                <w:rFonts w:hint="eastAsia" w:ascii="宋体" w:hAnsi="宋体"/>
                <w:sz w:val="24"/>
              </w:rPr>
              <w:t>，中国知网统计的被引用数为3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12.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新型信息网络犯罪司法适用探微</w:t>
            </w:r>
            <w:r>
              <w:rPr>
                <w:rFonts w:hint="eastAsia" w:ascii="宋体" w:hAnsi="宋体"/>
                <w:sz w:val="24"/>
              </w:rPr>
              <w:t>》（独著），《中国应用法学》2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年第6期，1</w:t>
            </w:r>
            <w:r>
              <w:rPr>
                <w:rFonts w:ascii="宋体" w:hAnsi="宋体"/>
                <w:sz w:val="24"/>
              </w:rPr>
              <w:t>.6</w:t>
            </w:r>
            <w:r>
              <w:rPr>
                <w:rFonts w:hint="eastAsia" w:ascii="宋体" w:hAnsi="宋体"/>
                <w:sz w:val="24"/>
              </w:rPr>
              <w:t>万字，</w:t>
            </w:r>
            <w:r>
              <w:rPr>
                <w:rFonts w:hint="eastAsia" w:ascii="黑体" w:hAnsi="黑体" w:eastAsia="黑体"/>
                <w:b/>
                <w:sz w:val="24"/>
              </w:rPr>
              <w:t>人大</w:t>
            </w:r>
            <w:r>
              <w:rPr>
                <w:rFonts w:ascii="黑体" w:hAnsi="黑体" w:eastAsia="黑体"/>
                <w:b/>
                <w:sz w:val="24"/>
              </w:rPr>
              <w:t>报刊</w:t>
            </w:r>
            <w:r>
              <w:rPr>
                <w:rFonts w:hint="eastAsia" w:ascii="黑体" w:hAnsi="黑体" w:eastAsia="黑体"/>
                <w:b/>
                <w:sz w:val="24"/>
              </w:rPr>
              <w:t>复印资料《刑事法学》20</w:t>
            </w:r>
            <w:r>
              <w:rPr>
                <w:rFonts w:ascii="黑体" w:hAnsi="黑体" w:eastAsia="黑体"/>
                <w:b/>
                <w:sz w:val="24"/>
              </w:rPr>
              <w:t>20</w:t>
            </w:r>
            <w:r>
              <w:rPr>
                <w:rFonts w:hint="eastAsia" w:ascii="黑体" w:hAnsi="黑体" w:eastAsia="黑体"/>
                <w:b/>
                <w:sz w:val="24"/>
              </w:rPr>
              <w:t>年第3期全文转载</w:t>
            </w:r>
            <w:r>
              <w:rPr>
                <w:rFonts w:hint="eastAsia" w:ascii="宋体" w:hAnsi="宋体"/>
                <w:sz w:val="24"/>
              </w:rPr>
              <w:t>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85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  <w:r>
              <w:rPr>
                <w:rFonts w:ascii="楷体" w:hAnsi="楷体" w:eastAsia="楷体"/>
                <w:b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网络犯罪的刑事对策与审判疑难问题解析</w:t>
            </w:r>
            <w:r>
              <w:rPr>
                <w:rFonts w:hint="eastAsia" w:ascii="宋体" w:hAnsi="宋体"/>
                <w:sz w:val="24"/>
              </w:rPr>
              <w:t>》（独著），《人民司法》2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hint="eastAsia" w:ascii="宋体" w:hAnsi="宋体"/>
                <w:sz w:val="24"/>
              </w:rPr>
              <w:t>期，1万字；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  <w:r>
              <w:rPr>
                <w:rFonts w:ascii="楷体" w:hAnsi="楷体" w:eastAsia="楷体"/>
                <w:b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刑事缺席审判程序的立法进程</w:t>
            </w:r>
            <w:r>
              <w:rPr>
                <w:rFonts w:hint="eastAsia" w:ascii="宋体" w:hAnsi="宋体"/>
                <w:sz w:val="24"/>
              </w:rPr>
              <w:t>》（独著），《法律适用》2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.3</w:t>
            </w:r>
            <w:r>
              <w:rPr>
                <w:rFonts w:hint="eastAsia" w:ascii="宋体" w:hAnsi="宋体"/>
                <w:sz w:val="24"/>
              </w:rPr>
              <w:t>万字，中国知网统计的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72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  <w:r>
              <w:rPr>
                <w:rFonts w:ascii="楷体" w:hAnsi="楷体" w:eastAsia="楷体"/>
                <w:b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《侵犯公民个人信息罪的司法适用态势与争议焦点探析》（独著），《法律适用》2018年第7期，1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hint="eastAsia" w:ascii="宋体" w:hAnsi="宋体"/>
                <w:sz w:val="24"/>
              </w:rPr>
              <w:t>万字，获国家法官学院《法律适用》2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年有奖征文</w:t>
            </w:r>
            <w:r>
              <w:rPr>
                <w:rFonts w:hint="eastAsia" w:ascii="黑体" w:hAnsi="黑体" w:eastAsia="黑体"/>
                <w:b/>
                <w:sz w:val="24"/>
              </w:rPr>
              <w:t>三等奖</w:t>
            </w:r>
            <w:r>
              <w:rPr>
                <w:rFonts w:hint="eastAsia" w:ascii="宋体" w:hAnsi="宋体"/>
                <w:sz w:val="24"/>
              </w:rPr>
              <w:t>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125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  <w:r>
              <w:rPr>
                <w:rFonts w:ascii="楷体" w:hAnsi="楷体" w:eastAsia="楷体"/>
                <w:b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《网络犯罪的态势与刑事对策的调整》（独著），《法治现代化研究》2018年第2期，2万字；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17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《侵犯公民个人信息罪司法适用探微》（独著），《中国应用法学》2017年第4期，1</w:t>
            </w:r>
            <w:r>
              <w:rPr>
                <w:rFonts w:ascii="宋体" w:hAnsi="宋体"/>
                <w:sz w:val="24"/>
              </w:rPr>
              <w:t>.6</w:t>
            </w:r>
            <w:r>
              <w:rPr>
                <w:rFonts w:hint="eastAsia" w:ascii="宋体" w:hAnsi="宋体"/>
                <w:sz w:val="24"/>
              </w:rPr>
              <w:t>万字，中国知网统计的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122</w:t>
            </w:r>
            <w:r>
              <w:rPr>
                <w:rFonts w:hint="eastAsia" w:ascii="宋体" w:hAnsi="宋体"/>
                <w:sz w:val="24"/>
              </w:rPr>
              <w:t>，自《中国应用法学》创刊以来被引用数</w:t>
            </w:r>
            <w:r>
              <w:rPr>
                <w:rFonts w:hint="eastAsia" w:ascii="黑体" w:hAnsi="黑体" w:eastAsia="黑体"/>
                <w:b/>
                <w:sz w:val="24"/>
              </w:rPr>
              <w:t>排名第二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18.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污染环境罪若干争议问题之厘清</w:t>
            </w:r>
            <w:r>
              <w:rPr>
                <w:rFonts w:hint="eastAsia" w:ascii="宋体" w:hAnsi="宋体"/>
                <w:sz w:val="24"/>
              </w:rPr>
              <w:t>》（独著），《法律适用》201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万字，获国家法官学院《法律适用》2017年有奖征文</w:t>
            </w:r>
            <w:r>
              <w:rPr>
                <w:rFonts w:hint="eastAsia" w:ascii="黑体" w:hAnsi="黑体" w:eastAsia="黑体"/>
                <w:b/>
                <w:sz w:val="24"/>
              </w:rPr>
              <w:t>三等奖</w:t>
            </w:r>
            <w:r>
              <w:rPr>
                <w:rFonts w:hint="eastAsia" w:ascii="宋体" w:hAnsi="宋体"/>
                <w:sz w:val="24"/>
              </w:rPr>
              <w:t>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87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19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《网络犯罪的立法扩张与司法适用》（独著），《法律适用》2016年第9期，1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hint="eastAsia" w:ascii="宋体" w:hAnsi="宋体"/>
                <w:sz w:val="24"/>
              </w:rPr>
              <w:t>万字，中国知网统计的</w:t>
            </w:r>
            <w:r>
              <w:rPr>
                <w:rFonts w:hint="eastAsia" w:ascii="黑体" w:hAnsi="黑体" w:eastAsia="黑体"/>
                <w:b/>
                <w:sz w:val="24"/>
              </w:rPr>
              <w:t>被引用数为</w:t>
            </w:r>
            <w:r>
              <w:rPr>
                <w:rFonts w:ascii="黑体" w:hAnsi="黑体" w:eastAsia="黑体"/>
                <w:b/>
                <w:sz w:val="24"/>
              </w:rPr>
              <w:t>252</w:t>
            </w:r>
            <w:r>
              <w:rPr>
                <w:rFonts w:hint="eastAsia" w:ascii="宋体" w:hAnsi="宋体"/>
                <w:sz w:val="24"/>
              </w:rPr>
              <w:t>，在《法律适用》刊发论文被引用数中</w:t>
            </w:r>
            <w:r>
              <w:rPr>
                <w:rFonts w:hint="eastAsia" w:ascii="黑体" w:hAnsi="黑体" w:eastAsia="黑体"/>
                <w:b/>
                <w:sz w:val="24"/>
              </w:rPr>
              <w:t>排名前十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20.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文物犯罪若干问题辨析</w:t>
            </w:r>
            <w:r>
              <w:rPr>
                <w:rFonts w:hint="eastAsia" w:ascii="宋体" w:hAnsi="宋体"/>
                <w:sz w:val="24"/>
              </w:rPr>
              <w:t>》（独著），《法律适用》201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期，1</w:t>
            </w:r>
            <w:r>
              <w:rPr>
                <w:rFonts w:ascii="宋体" w:hAnsi="宋体"/>
                <w:sz w:val="24"/>
              </w:rPr>
              <w:t>.5万字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21.</w:t>
            </w:r>
            <w:r>
              <w:rPr>
                <w:rFonts w:hint="eastAsia" w:ascii="宋体" w:hAnsi="宋体"/>
                <w:sz w:val="24"/>
              </w:rPr>
              <w:t>《刑法解释权配置模式探析》（独著），《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刑法论丛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2008</w:t>
            </w:r>
            <w:r>
              <w:rPr>
                <w:rFonts w:hint="eastAsia" w:ascii="宋体" w:hAnsi="宋体"/>
                <w:sz w:val="24"/>
              </w:rPr>
              <w:t>年第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期，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22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《从“结果不法”到“行为不法”——信赖原则及其相关问题探析》（独著），《</w:t>
            </w:r>
            <w:r>
              <w:rPr>
                <w:rFonts w:hint="eastAsia" w:ascii="黑体" w:hAnsi="黑体" w:eastAsia="黑体"/>
                <w:b/>
                <w:sz w:val="24"/>
              </w:rPr>
              <w:t>国家检察官学院学报</w:t>
            </w:r>
            <w:r>
              <w:rPr>
                <w:rFonts w:hint="eastAsia" w:ascii="宋体" w:hAnsi="宋体"/>
                <w:sz w:val="24"/>
              </w:rPr>
              <w:t>》2004年第5期，1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hint="eastAsia" w:ascii="宋体" w:hAnsi="宋体"/>
                <w:sz w:val="24"/>
              </w:rPr>
              <w:t>万字，</w:t>
            </w:r>
            <w:r>
              <w:rPr>
                <w:rFonts w:hint="eastAsia" w:ascii="黑体" w:hAnsi="黑体" w:eastAsia="黑体"/>
                <w:b/>
                <w:sz w:val="24"/>
              </w:rPr>
              <w:t>人大</w:t>
            </w:r>
            <w:r>
              <w:rPr>
                <w:rFonts w:ascii="黑体" w:hAnsi="黑体" w:eastAsia="黑体"/>
                <w:b/>
                <w:sz w:val="24"/>
              </w:rPr>
              <w:t>报刊</w:t>
            </w:r>
            <w:r>
              <w:rPr>
                <w:rFonts w:hint="eastAsia" w:ascii="黑体" w:hAnsi="黑体" w:eastAsia="黑体"/>
                <w:b/>
                <w:sz w:val="24"/>
              </w:rPr>
              <w:t>复印资料《刑事法学》2005年第3期全文转载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36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（四）司法解释、规范性文件、指导性案例解读文章（</w:t>
            </w:r>
            <w:r>
              <w:rPr>
                <w:rFonts w:ascii="宋体" w:hAnsi="宋体"/>
                <w:b/>
                <w:color w:val="000000"/>
                <w:sz w:val="24"/>
              </w:rPr>
              <w:t>24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篇）</w:t>
            </w:r>
          </w:p>
          <w:p>
            <w:pPr>
              <w:spacing w:line="43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围绕执笔起草的刑事司法文件，撰写了</w:t>
            </w: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  <w:r>
              <w:rPr>
                <w:rFonts w:ascii="黑体" w:hAnsi="黑体" w:eastAsia="黑体"/>
                <w:b/>
                <w:sz w:val="24"/>
              </w:rPr>
              <w:t>4</w:t>
            </w:r>
            <w:r>
              <w:rPr>
                <w:rFonts w:hint="eastAsia" w:ascii="黑体" w:hAnsi="黑体" w:eastAsia="黑体"/>
                <w:b/>
                <w:sz w:val="24"/>
              </w:rPr>
              <w:t>篇解读文章</w:t>
            </w:r>
            <w:r>
              <w:rPr>
                <w:rFonts w:hint="eastAsia" w:ascii="宋体" w:hAnsi="宋体"/>
                <w:sz w:val="24"/>
              </w:rPr>
              <w:t>（具体目录见“在法治宣传方面的贡献”部分），通过《人民司法》等对外发表，为司法实践中正确理解与适用，以及理论界更为准确地把握背景和要义，促进实务与理论的交流奠定了坚实基础。</w:t>
            </w:r>
          </w:p>
          <w:p>
            <w:pPr>
              <w:spacing w:line="436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（五）其他主要著作（1</w:t>
            </w: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部）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《刑法百罪疑难问题精析》（参编），胡云腾主编、万春副主编，人民法院出版社2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年版，全书</w:t>
            </w:r>
            <w:r>
              <w:rPr>
                <w:rFonts w:ascii="宋体" w:hAnsi="宋体"/>
                <w:sz w:val="24"/>
              </w:rPr>
              <w:t>150</w:t>
            </w:r>
            <w:r>
              <w:rPr>
                <w:rFonts w:hint="eastAsia" w:ascii="宋体" w:hAnsi="宋体"/>
                <w:sz w:val="24"/>
              </w:rPr>
              <w:t>万字，撰写1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《刑法罪名精释（第五版）》（参编），胡云腾、熊选国、高憬宏、万春主编，人民法院出版社2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hint="eastAsia" w:ascii="宋体" w:hAnsi="宋体"/>
                <w:sz w:val="24"/>
              </w:rPr>
              <w:t>年版，全书</w:t>
            </w:r>
            <w:r>
              <w:rPr>
                <w:rFonts w:ascii="宋体" w:hAnsi="宋体"/>
                <w:sz w:val="24"/>
              </w:rPr>
              <w:t>162</w:t>
            </w:r>
            <w:r>
              <w:rPr>
                <w:rFonts w:hint="eastAsia" w:ascii="宋体" w:hAnsi="宋体"/>
                <w:sz w:val="24"/>
              </w:rPr>
              <w:t>万字，撰写1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《〈</w:t>
            </w:r>
            <w:r>
              <w:rPr>
                <w:rFonts w:ascii="宋体" w:hAnsi="宋体"/>
                <w:sz w:val="24"/>
              </w:rPr>
              <w:t>刑法修正案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十一</w:t>
            </w:r>
            <w:r>
              <w:rPr>
                <w:rFonts w:hint="eastAsia" w:ascii="宋体" w:hAnsi="宋体"/>
                <w:sz w:val="24"/>
              </w:rPr>
              <w:t>）〉</w:t>
            </w:r>
            <w:r>
              <w:rPr>
                <w:rFonts w:ascii="宋体" w:hAnsi="宋体"/>
                <w:sz w:val="24"/>
              </w:rPr>
              <w:t>条文及配套</w:t>
            </w:r>
            <w:r>
              <w:rPr>
                <w:rFonts w:hint="eastAsia" w:ascii="宋体" w:hAnsi="宋体"/>
                <w:sz w:val="24"/>
              </w:rPr>
              <w:t>〈</w:t>
            </w:r>
            <w:r>
              <w:rPr>
                <w:rFonts w:ascii="宋体" w:hAnsi="宋体"/>
                <w:sz w:val="24"/>
              </w:rPr>
              <w:t>罪名补充规定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七</w:t>
            </w:r>
            <w:r>
              <w:rPr>
                <w:rFonts w:hint="eastAsia" w:ascii="宋体" w:hAnsi="宋体"/>
                <w:sz w:val="24"/>
              </w:rPr>
              <w:t>）〉</w:t>
            </w:r>
            <w:r>
              <w:rPr>
                <w:rFonts w:ascii="宋体" w:hAnsi="宋体"/>
                <w:sz w:val="24"/>
              </w:rPr>
              <w:t>理解与适用</w:t>
            </w:r>
            <w:r>
              <w:rPr>
                <w:rFonts w:hint="eastAsia" w:ascii="宋体" w:hAnsi="宋体"/>
                <w:sz w:val="24"/>
              </w:rPr>
              <w:t>》，杨万明主编，人民法院出版社20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年版，全书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万字，撰写逾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《〈</w:t>
            </w:r>
            <w:r>
              <w:rPr>
                <w:rFonts w:ascii="宋体" w:hAnsi="宋体"/>
                <w:sz w:val="24"/>
              </w:rPr>
              <w:t>最高人民法院关于适用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中华人民共和国刑事诉讼法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的解释</w:t>
            </w:r>
            <w:r>
              <w:rPr>
                <w:rFonts w:hint="eastAsia" w:ascii="宋体" w:hAnsi="宋体"/>
                <w:sz w:val="24"/>
              </w:rPr>
              <w:t>〉</w:t>
            </w:r>
            <w:r>
              <w:rPr>
                <w:rFonts w:ascii="宋体" w:hAnsi="宋体"/>
                <w:sz w:val="24"/>
              </w:rPr>
              <w:t>理解与适用</w:t>
            </w:r>
            <w:r>
              <w:rPr>
                <w:rFonts w:hint="eastAsia" w:ascii="宋体" w:hAnsi="宋体"/>
                <w:sz w:val="24"/>
              </w:rPr>
              <w:t>》（参编），李少平主编，人民法院出版社20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年版，全书6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万字，撰写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5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《新刑事诉讼法司法适用解答》（参编），杨万明主编，人民法院出版社2018年版，全书63万字，撰写逾20万字；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6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《网络犯罪刑事诉讼程序意见暨相关司法解释理解与适用》（参编），胡云腾主编，人民法院出版社2014年版，全书39万字，撰写近30万字；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7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《〈关于办理环境污染刑事案件适用法律若干问题的解释〉理解与适用》，胡云腾主编，人民法院出版社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hint="eastAsia" w:ascii="宋体" w:hAnsi="宋体"/>
                <w:sz w:val="24"/>
              </w:rPr>
              <w:t>年版，全书25万字，撰写近20万字；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8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《〈最高人民法院关于适用《中华人民共和国刑事诉讼法》的解释〉理解与适用》（参编），江必新主编，中国法制出版社2013年版，全书56万字，撰写20万字；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9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《新刑事诉讼法及司法解释适用解答》，张军、江必新主编，人民法院出版社2013年版，全书55万字，撰写近20万字；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10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《〈中华人民共和国刑事诉讼法〉适用解答》（参编），张军主编，人民法院出版社2012年版，全书55万字，撰写近15万字；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11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《〈刑法修正案（八）〉条文及配套司法解释理解与适用》（参编），张军主编，人民法院出版社2011年版，全书59万字，撰写逾5万字；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12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《中国刑事指导案例与规则——提炼·运用·说理》（第二作者），法律出版社2009年版，全书56万字，撰写逾30万字；</w:t>
            </w:r>
          </w:p>
          <w:p>
            <w:pPr>
              <w:spacing w:line="43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1</w:t>
            </w:r>
            <w:r>
              <w:rPr>
                <w:rFonts w:ascii="楷体" w:hAnsi="楷体" w:eastAsia="楷体"/>
                <w:b/>
                <w:sz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《规则如何提炼——中国刑事案例指导制度的实践》（第二作者），法律出版社2006年版，全书52万字，撰写逾30万字。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Times New Roman" w:hAnsi="Times New Roman" w:cs="Arial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ascii="Times New Roman" w:hAnsi="Times New Roman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年度工作奖项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014</w:t>
            </w:r>
            <w:r>
              <w:rPr>
                <w:rFonts w:hint="eastAsia" w:ascii="宋体" w:hAnsi="宋体"/>
                <w:sz w:val="24"/>
              </w:rPr>
              <w:t>年本职工作中成绩突出，被最高人民法院评选为“</w:t>
            </w:r>
            <w:r>
              <w:rPr>
                <w:rFonts w:hint="eastAsia" w:ascii="黑体" w:hAnsi="黑体" w:eastAsia="黑体"/>
                <w:b/>
                <w:sz w:val="24"/>
              </w:rPr>
              <w:t>岗位能手</w:t>
            </w:r>
            <w:r>
              <w:rPr>
                <w:rFonts w:hint="eastAsia" w:ascii="宋体" w:hAnsi="宋体"/>
                <w:sz w:val="24"/>
              </w:rPr>
              <w:t>”；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年度工作表现突出，被最高人民法院记</w:t>
            </w:r>
            <w:r>
              <w:rPr>
                <w:rFonts w:hint="eastAsia" w:ascii="黑体" w:hAnsi="黑体" w:eastAsia="黑体"/>
                <w:b/>
                <w:sz w:val="24"/>
              </w:rPr>
              <w:t>三等功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年度工作表现突出，被最高人民法院给予</w:t>
            </w:r>
            <w:r>
              <w:rPr>
                <w:rFonts w:hint="eastAsia" w:ascii="黑体" w:hAnsi="黑体" w:eastAsia="黑体"/>
                <w:b/>
                <w:sz w:val="24"/>
              </w:rPr>
              <w:t>嘉奖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专项工作奖项</w:t>
            </w:r>
          </w:p>
          <w:p>
            <w:pPr>
              <w:spacing w:line="440" w:lineRule="exact"/>
              <w:ind w:firstLine="480" w:firstLineChars="20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2010年被全国“扫黄打非”工作小组授予打击互联网和手机媒体传播淫秽色情信息专项行动</w:t>
            </w:r>
            <w:r>
              <w:rPr>
                <w:rFonts w:hint="eastAsia" w:ascii="黑体" w:hAnsi="黑体" w:eastAsia="黑体"/>
                <w:b/>
                <w:sz w:val="24"/>
              </w:rPr>
              <w:t>有功个人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2013年在刑法、刑事诉讼法修改工作中，被最高人民法院记</w:t>
            </w:r>
            <w:r>
              <w:rPr>
                <w:rFonts w:hint="eastAsia" w:ascii="黑体" w:hAnsi="黑体" w:eastAsia="黑体"/>
                <w:b/>
                <w:sz w:val="24"/>
              </w:rPr>
              <w:t>三等功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2015年参加巡回授课讲师团，被最高人民法院</w:t>
            </w:r>
            <w:r>
              <w:rPr>
                <w:rFonts w:hint="eastAsia" w:ascii="黑体" w:hAnsi="黑体" w:eastAsia="黑体"/>
                <w:b/>
                <w:sz w:val="24"/>
              </w:rPr>
              <w:t>通报表扬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学术成果奖项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《网络犯罪二十讲》（法律出版社2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年第1版）获2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hint="eastAsia" w:ascii="宋体" w:hAnsi="宋体"/>
                <w:sz w:val="24"/>
              </w:rPr>
              <w:t>年中国刑法学研究会第二届“全国刑法学优秀学术著作奖（2014-2020）”专著类</w:t>
            </w:r>
            <w:r>
              <w:rPr>
                <w:rFonts w:hint="eastAsia" w:ascii="黑体" w:hAnsi="黑体" w:eastAsia="黑体"/>
                <w:b/>
                <w:sz w:val="24"/>
              </w:rPr>
              <w:t>二等奖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《网络犯罪二十讲》（法律出版社20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年第2版）入选法律出版社“</w:t>
            </w: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  <w:r>
              <w:rPr>
                <w:rFonts w:ascii="黑体" w:hAnsi="黑体" w:eastAsia="黑体"/>
                <w:b/>
                <w:sz w:val="24"/>
              </w:rPr>
              <w:t>022年度十大好书</w:t>
            </w:r>
            <w:r>
              <w:rPr>
                <w:rFonts w:hint="eastAsia" w:ascii="宋体" w:hAnsi="宋体"/>
                <w:sz w:val="24"/>
              </w:rPr>
              <w:t>”；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《刑事一审普通程序修改解读》（第二作者）获国家法官学院《法律适用》杂志2012年有奖征文</w:t>
            </w:r>
            <w:r>
              <w:rPr>
                <w:rFonts w:hint="eastAsia" w:ascii="黑体" w:hAnsi="黑体" w:eastAsia="黑体"/>
                <w:b/>
                <w:sz w:val="24"/>
              </w:rPr>
              <w:t>一等奖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《污染环境罪若干争议问题之厘清》（独著）获国家法官学院《法律适用》杂志2017年有奖征文</w:t>
            </w:r>
            <w:r>
              <w:rPr>
                <w:rFonts w:hint="eastAsia" w:ascii="黑体" w:hAnsi="黑体" w:eastAsia="黑体"/>
                <w:b/>
                <w:sz w:val="24"/>
              </w:rPr>
              <w:t>三等奖</w:t>
            </w:r>
            <w:r>
              <w:rPr>
                <w:rFonts w:hint="eastAsia" w:ascii="宋体" w:hAnsi="宋体"/>
                <w:bCs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《侵犯公民个人信息罪的司法适用态势与争议焦点探析》（独著）获国家法官学院《法律适用》杂志201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年有奖征文</w:t>
            </w:r>
            <w:r>
              <w:rPr>
                <w:rFonts w:hint="eastAsia" w:ascii="黑体" w:hAnsi="黑体" w:eastAsia="黑体"/>
                <w:b/>
                <w:sz w:val="24"/>
              </w:rPr>
              <w:t>三等奖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Times New Roman" w:hAnsi="Times New Roman" w:cs="Arial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  <w:docVar w:name="KGWebUrl" w:val="http://oa.zg.pcc:80/cap-aco/OfficeServer?encryption=1"/>
  </w:docVars>
  <w:rsids>
    <w:rsidRoot w:val="55FCAC3F"/>
    <w:rsid w:val="00076167"/>
    <w:rsid w:val="00554F26"/>
    <w:rsid w:val="005E0126"/>
    <w:rsid w:val="009205C1"/>
    <w:rsid w:val="056D2319"/>
    <w:rsid w:val="17880889"/>
    <w:rsid w:val="17F87B84"/>
    <w:rsid w:val="1D30577A"/>
    <w:rsid w:val="276F88AE"/>
    <w:rsid w:val="2BDBA88D"/>
    <w:rsid w:val="37FFAB8F"/>
    <w:rsid w:val="3DE65F0C"/>
    <w:rsid w:val="3DFF7B70"/>
    <w:rsid w:val="3DFFF648"/>
    <w:rsid w:val="3FBFC972"/>
    <w:rsid w:val="3FEC4C9D"/>
    <w:rsid w:val="47FE3A4D"/>
    <w:rsid w:val="4BFF7515"/>
    <w:rsid w:val="4EEEBA80"/>
    <w:rsid w:val="4FFF8C36"/>
    <w:rsid w:val="55FCAC3F"/>
    <w:rsid w:val="57CF1873"/>
    <w:rsid w:val="5FFBF7A9"/>
    <w:rsid w:val="6A5437CA"/>
    <w:rsid w:val="6BFB63F3"/>
    <w:rsid w:val="6FC78EC9"/>
    <w:rsid w:val="6FEBF9B4"/>
    <w:rsid w:val="6FFF1E8C"/>
    <w:rsid w:val="797FF816"/>
    <w:rsid w:val="7ABC1482"/>
    <w:rsid w:val="7AD7DF77"/>
    <w:rsid w:val="7B7C2332"/>
    <w:rsid w:val="7B7E39E0"/>
    <w:rsid w:val="7BE7FE0C"/>
    <w:rsid w:val="7DFFBA67"/>
    <w:rsid w:val="7EEAD563"/>
    <w:rsid w:val="7EFF038D"/>
    <w:rsid w:val="7FF34146"/>
    <w:rsid w:val="7FF6287F"/>
    <w:rsid w:val="7FFF1F39"/>
    <w:rsid w:val="7FFF6D68"/>
    <w:rsid w:val="97B92133"/>
    <w:rsid w:val="AFB7FDDD"/>
    <w:rsid w:val="B7782C25"/>
    <w:rsid w:val="BEFFFB07"/>
    <w:rsid w:val="BFFE21E2"/>
    <w:rsid w:val="CF1D3850"/>
    <w:rsid w:val="DBF8CC39"/>
    <w:rsid w:val="DE3B4A02"/>
    <w:rsid w:val="DFDE9981"/>
    <w:rsid w:val="DFDFFCE0"/>
    <w:rsid w:val="E3FEB12F"/>
    <w:rsid w:val="ED7B4D60"/>
    <w:rsid w:val="EDF70356"/>
    <w:rsid w:val="EF573268"/>
    <w:rsid w:val="EF6FED23"/>
    <w:rsid w:val="F4BDA554"/>
    <w:rsid w:val="F76F7235"/>
    <w:rsid w:val="F79FE339"/>
    <w:rsid w:val="FDBDE56B"/>
    <w:rsid w:val="FDFD62B2"/>
    <w:rsid w:val="FFD79C88"/>
    <w:rsid w:val="FFFBAA99"/>
    <w:rsid w:val="FFFE4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12545</Words>
  <Characters>13375</Characters>
  <Lines>126</Lines>
  <Paragraphs>35</Paragraphs>
  <TotalTime>2</TotalTime>
  <ScaleCrop>false</ScaleCrop>
  <LinksUpToDate>false</LinksUpToDate>
  <CharactersWithSpaces>13530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2023-02-09T11:53:00Z</dcterms:created>
  <dc:creator>师晓东</dc:creator>
  <cp:lastModifiedBy>执牛耳</cp:lastModifiedBy>
  <dcterms:modified xsi:type="dcterms:W3CDTF">2023-04-27T09:04:27Z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83080324A3C94374864476E5BB1165E6_12</vt:lpwstr>
  </property>
</Properties>
</file>