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10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nts/font9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40" w:lineRule="exact"/>
        <w:rPr>
          <w:rFonts w:ascii="仿宋_GB2312" w:hAnsi="宋体" w:eastAsia="仿宋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附件2</w:t>
      </w:r>
    </w:p>
    <w:p>
      <w:pPr>
        <w:jc w:val="center"/>
        <w:rPr>
          <w:rFonts w:ascii="宋体" w:hAnsi="宋体"/>
          <w:b/>
          <w:bCs/>
          <w:sz w:val="32"/>
          <w:szCs w:val="32"/>
        </w:rPr>
      </w:pPr>
    </w:p>
    <w:p>
      <w:pPr>
        <w:jc w:val="center"/>
      </w:pPr>
    </w:p>
    <w:p>
      <w:pPr>
        <w:jc w:val="center"/>
      </w:pPr>
      <w:r>
        <w:drawing>
          <wp:inline distT="0" distB="0" distL="0" distR="0">
            <wp:extent cx="1483995" cy="1428750"/>
            <wp:effectExtent l="0" t="0" r="190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pPr>
        <w:spacing w:line="700" w:lineRule="exact"/>
        <w:jc w:val="center"/>
        <w:rPr>
          <w:rFonts w:ascii="方正小标宋_GBK" w:eastAsia="方正小标宋_GBK"/>
          <w:b/>
          <w:bCs/>
          <w:sz w:val="44"/>
          <w:szCs w:val="44"/>
        </w:rPr>
      </w:pPr>
      <w:r>
        <w:rPr>
          <w:rFonts w:hint="eastAsia" w:ascii="方正小标宋_GBK" w:eastAsia="方正小标宋_GBK"/>
          <w:b/>
          <w:bCs/>
          <w:sz w:val="44"/>
          <w:szCs w:val="44"/>
        </w:rPr>
        <w:t>第十届“全国杰出青年法学家”</w:t>
      </w:r>
    </w:p>
    <w:p>
      <w:pPr>
        <w:spacing w:line="700" w:lineRule="exact"/>
        <w:jc w:val="center"/>
        <w:rPr>
          <w:rFonts w:ascii="方正小标宋_GBK" w:eastAsia="方正小标宋_GBK"/>
          <w:b/>
          <w:bCs/>
          <w:sz w:val="44"/>
          <w:szCs w:val="44"/>
        </w:rPr>
      </w:pPr>
      <w:r>
        <w:rPr>
          <w:rFonts w:hint="eastAsia" w:ascii="方正小标宋_GBK" w:eastAsia="方正小标宋_GBK"/>
          <w:b/>
          <w:bCs/>
          <w:sz w:val="44"/>
          <w:szCs w:val="44"/>
        </w:rPr>
        <w:t>推荐表</w:t>
      </w:r>
    </w:p>
    <w:p/>
    <w:p/>
    <w:p/>
    <w:p/>
    <w:p/>
    <w:p/>
    <w:p>
      <w:pPr>
        <w:snapToGrid w:val="0"/>
        <w:rPr>
          <w:sz w:val="28"/>
          <w:szCs w:val="28"/>
        </w:rPr>
      </w:pPr>
    </w:p>
    <w:p>
      <w:pPr>
        <w:snapToGrid w:val="0"/>
        <w:rPr>
          <w:sz w:val="28"/>
          <w:szCs w:val="28"/>
        </w:rPr>
      </w:pPr>
    </w:p>
    <w:p>
      <w:pPr>
        <w:snapToGrid w:val="0"/>
        <w:rPr>
          <w:sz w:val="28"/>
          <w:szCs w:val="28"/>
        </w:rPr>
      </w:pPr>
    </w:p>
    <w:p>
      <w:pPr>
        <w:snapToGrid w:val="0"/>
        <w:ind w:firstLine="643" w:firstLineChars="200"/>
        <w:rPr>
          <w:rFonts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姓    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     刘昕杰                       </w:t>
      </w:r>
    </w:p>
    <w:p>
      <w:pPr>
        <w:snapToGrid w:val="0"/>
        <w:rPr>
          <w:rFonts w:eastAsia="仿宋_GB2312"/>
          <w:b/>
          <w:bCs/>
          <w:sz w:val="28"/>
          <w:szCs w:val="28"/>
          <w:u w:val="single"/>
        </w:rPr>
      </w:pPr>
    </w:p>
    <w:p>
      <w:pPr>
        <w:snapToGrid w:val="0"/>
        <w:ind w:firstLine="643" w:firstLineChars="200"/>
        <w:rPr>
          <w:rFonts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工作单位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  四川大学法学院                        </w:t>
      </w:r>
    </w:p>
    <w:p>
      <w:pPr>
        <w:snapToGrid w:val="0"/>
        <w:rPr>
          <w:rFonts w:eastAsia="仿宋_GB2312"/>
          <w:b/>
          <w:bCs/>
          <w:sz w:val="28"/>
          <w:szCs w:val="28"/>
          <w:u w:val="single"/>
        </w:rPr>
      </w:pPr>
    </w:p>
    <w:p>
      <w:pPr>
        <w:snapToGrid w:val="0"/>
        <w:ind w:firstLine="643" w:firstLineChars="200"/>
        <w:rPr>
          <w:rFonts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推荐单位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  </w:t>
      </w:r>
      <w:r>
        <w:rPr>
          <w:rFonts w:eastAsia="仿宋_GB2312"/>
          <w:b/>
          <w:bCs/>
          <w:sz w:val="32"/>
          <w:szCs w:val="32"/>
          <w:u w:val="single"/>
        </w:rPr>
        <w:t xml:space="preserve"> 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四川大学法学院         </w:t>
      </w:r>
      <w:r>
        <w:rPr>
          <w:rFonts w:eastAsia="仿宋_GB2312"/>
          <w:b/>
          <w:bCs/>
          <w:sz w:val="32"/>
          <w:szCs w:val="32"/>
          <w:u w:val="single"/>
        </w:rPr>
        <w:t xml:space="preserve">  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</w:t>
      </w:r>
      <w:r>
        <w:rPr>
          <w:rFonts w:eastAsia="仿宋_GB2312"/>
          <w:b/>
          <w:bCs/>
          <w:sz w:val="32"/>
          <w:szCs w:val="32"/>
          <w:u w:val="single"/>
        </w:rPr>
        <w:t xml:space="preserve">     </w:t>
      </w: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ind w:firstLine="3360" w:firstLineChars="1050"/>
        <w:rPr>
          <w:rFonts w:ascii="宋体" w:hAnsi="Arial Narrow"/>
          <w:sz w:val="32"/>
          <w:szCs w:val="32"/>
        </w:rPr>
      </w:pPr>
      <w:r>
        <w:rPr>
          <w:rFonts w:hint="eastAsia" w:ascii="宋体" w:hAnsi="Arial Narrow"/>
          <w:sz w:val="32"/>
          <w:szCs w:val="32"/>
        </w:rPr>
        <w:t>中国法学会</w:t>
      </w:r>
    </w:p>
    <w:p>
      <w:pPr>
        <w:snapToGrid w:val="0"/>
        <w:jc w:val="center"/>
        <w:rPr>
          <w:rFonts w:eastAsia="仿宋_GB2312"/>
          <w:b/>
          <w:bCs/>
          <w:szCs w:val="21"/>
          <w:u w:val="single"/>
        </w:rPr>
      </w:pPr>
      <w:r>
        <w:rPr>
          <w:rFonts w:hint="eastAsia" w:ascii="宋体" w:hAnsi="Arial Narrow"/>
          <w:sz w:val="32"/>
          <w:szCs w:val="32"/>
        </w:rPr>
        <w:t>202</w:t>
      </w:r>
      <w:r>
        <w:rPr>
          <w:rFonts w:ascii="宋体" w:hAnsi="Arial Narrow"/>
          <w:sz w:val="32"/>
          <w:szCs w:val="32"/>
          <w:lang w:val="en"/>
        </w:rPr>
        <w:t>2</w:t>
      </w:r>
      <w:r>
        <w:rPr>
          <w:rFonts w:hint="eastAsia" w:ascii="宋体" w:hAnsi="Arial Narrow"/>
          <w:sz w:val="32"/>
          <w:szCs w:val="32"/>
        </w:rPr>
        <w:t>年</w:t>
      </w:r>
      <w:r>
        <w:rPr>
          <w:rFonts w:ascii="宋体" w:hAnsi="Arial Narrow"/>
          <w:sz w:val="32"/>
          <w:szCs w:val="32"/>
          <w:lang w:val="en"/>
        </w:rPr>
        <w:t>12</w:t>
      </w:r>
      <w:r>
        <w:rPr>
          <w:rFonts w:hint="eastAsia" w:ascii="宋体" w:hAnsi="Arial Narrow"/>
          <w:sz w:val="32"/>
          <w:szCs w:val="32"/>
        </w:rPr>
        <w:t>月印制</w:t>
      </w:r>
    </w:p>
    <w:p>
      <w:pPr>
        <w:snapToGrid w:val="0"/>
        <w:rPr>
          <w:rFonts w:eastAsia="仿宋_GB2312"/>
          <w:szCs w:val="21"/>
        </w:rPr>
      </w:pPr>
    </w:p>
    <w:p>
      <w:pPr>
        <w:spacing w:line="440" w:lineRule="exact"/>
        <w:jc w:val="center"/>
        <w:rPr>
          <w:rFonts w:ascii="Arial Narrow" w:hAnsi="Arial Narrow"/>
          <w:b/>
          <w:sz w:val="30"/>
        </w:rPr>
      </w:pPr>
    </w:p>
    <w:p>
      <w:pPr>
        <w:spacing w:line="44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填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表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说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明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numPr>
          <w:ilvl w:val="0"/>
          <w:numId w:val="1"/>
        </w:num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表一为推荐单位填写或指导推荐候选人填写，表二为推荐候选人工作单位上级党委（党组）填写并盖章，表三为推荐候选人工作单位上级纪检监察部门填写并盖章，表四为推荐单位填写并盖章。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例如，推荐候选人为某大学法学院教授的，表二应由该大学党委填写并盖章，表三应由该大学纪委填写并盖章，表四应由该大学法学院填写并盖章。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二、推荐单位需填写推荐评选委员会投票情况、推荐意见（每人500字以内）。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三、请用计算机填写，可根据实际需要分栏，但勿随意变动格式及字体字号。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四、请各推荐单位于2023年3月20日之前，将</w:t>
      </w:r>
      <w:r>
        <w:fldChar w:fldCharType="begin"/>
      </w:r>
      <w:r>
        <w:instrText xml:space="preserve"> HYPERLINK "mailto:本表电子版发至邮箱qnfxj2016@126.com" </w:instrText>
      </w:r>
      <w:r>
        <w:fldChar w:fldCharType="separate"/>
      </w:r>
      <w:r>
        <w:rPr>
          <w:rFonts w:hint="eastAsia" w:ascii="仿宋" w:hAnsi="仿宋" w:eastAsia="仿宋"/>
          <w:sz w:val="28"/>
          <w:szCs w:val="28"/>
        </w:rPr>
        <w:t>本表电子版发至指定邮箱</w:t>
      </w:r>
      <w:r>
        <w:rPr>
          <w:rFonts w:hint="eastAsia" w:ascii="仿宋" w:hAnsi="仿宋" w:eastAsia="仿宋"/>
          <w:sz w:val="28"/>
          <w:szCs w:val="28"/>
        </w:rPr>
        <w:fldChar w:fldCharType="end"/>
      </w:r>
      <w:r>
        <w:rPr>
          <w:rFonts w:hint="eastAsia" w:ascii="仿宋" w:hAnsi="仿宋" w:eastAsia="仿宋"/>
          <w:sz w:val="28"/>
          <w:szCs w:val="28"/>
        </w:rPr>
        <w:t>。纸质版以A4纸打印一式四份，连同推荐评选情况报告、推荐候选人身份证复印件、推荐候选人代表性学术专著1-2部（独著）、学术论文3-5篇（独著或第一作者）、重要荣誉证书或证明复印件各一式一份，寄至指定地址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联 系 人：魏丽莎 于晓航  010-66</w:t>
      </w:r>
      <w:r>
        <w:rPr>
          <w:rFonts w:ascii="仿宋" w:hAnsi="仿宋" w:eastAsia="仿宋"/>
          <w:color w:val="000000"/>
          <w:sz w:val="28"/>
          <w:szCs w:val="28"/>
          <w:lang w:val="en"/>
        </w:rPr>
        <w:t>1</w:t>
      </w:r>
      <w:r>
        <w:rPr>
          <w:rFonts w:hint="eastAsia" w:ascii="仿宋" w:hAnsi="仿宋" w:eastAsia="仿宋"/>
          <w:color w:val="000000"/>
          <w:sz w:val="28"/>
          <w:szCs w:val="28"/>
        </w:rPr>
        <w:t>23109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pacing w:val="-6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邮寄地址：</w:t>
      </w:r>
      <w:r>
        <w:rPr>
          <w:rFonts w:hint="eastAsia" w:ascii="仿宋" w:hAnsi="仿宋" w:eastAsia="仿宋"/>
          <w:color w:val="000000"/>
          <w:spacing w:val="-6"/>
          <w:sz w:val="28"/>
          <w:szCs w:val="28"/>
        </w:rPr>
        <w:t>北京市海淀区皂君庙4号中国法学会研究部1334室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邮    编：100081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电子邮箱：qnfxj2022@163.com</w:t>
      </w:r>
    </w:p>
    <w:p>
      <w:pPr>
        <w:rPr>
          <w:rFonts w:ascii="宋体" w:hAnsi="宋体"/>
          <w:b/>
          <w:bCs/>
          <w:color w:val="000000"/>
          <w:sz w:val="24"/>
        </w:rPr>
      </w:pPr>
    </w:p>
    <w:p>
      <w:pPr>
        <w:snapToGrid w:val="0"/>
        <w:rPr>
          <w:rFonts w:ascii="华文中宋" w:hAnsi="华文中宋" w:eastAsia="华文中宋"/>
          <w:b/>
          <w:color w:val="000000"/>
          <w:sz w:val="30"/>
          <w:szCs w:val="30"/>
        </w:rPr>
      </w:pPr>
      <w:r>
        <w:rPr>
          <w:rFonts w:hint="eastAsia" w:ascii="华文中宋" w:hAnsi="华文中宋" w:eastAsia="华文中宋"/>
          <w:b/>
          <w:color w:val="000000"/>
          <w:sz w:val="30"/>
          <w:szCs w:val="30"/>
        </w:rPr>
        <w:br w:type="page"/>
      </w:r>
    </w:p>
    <w:tbl>
      <w:tblPr>
        <w:tblStyle w:val="5"/>
        <w:tblpPr w:leftFromText="180" w:rightFromText="180" w:vertAnchor="text" w:horzAnchor="page" w:tblpX="1732" w:tblpY="-227"/>
        <w:tblOverlap w:val="never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104"/>
        <w:gridCol w:w="1276"/>
        <w:gridCol w:w="2016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9000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b/>
                <w:color w:val="000000"/>
                <w:sz w:val="30"/>
                <w:szCs w:val="30"/>
              </w:rPr>
              <w:t>表一：推荐候选人情况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6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姓    名</w:t>
            </w:r>
          </w:p>
        </w:tc>
        <w:tc>
          <w:tcPr>
            <w:tcW w:w="2104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tabs>
                <w:tab w:val="left" w:pos="4185"/>
              </w:tabs>
              <w:snapToGrid w:val="0"/>
              <w:ind w:firstLine="240" w:firstLineChars="100"/>
              <w:jc w:val="left"/>
              <w:rPr>
                <w:rFonts w:ascii="楷体_GB2312" w:hAnsi="楷体" w:eastAsia="楷体_GB2312"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color w:val="000000"/>
                <w:sz w:val="24"/>
              </w:rPr>
              <w:t>刘昕杰</w:t>
            </w:r>
          </w:p>
        </w:tc>
        <w:tc>
          <w:tcPr>
            <w:tcW w:w="127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性    别</w:t>
            </w:r>
          </w:p>
        </w:tc>
        <w:tc>
          <w:tcPr>
            <w:tcW w:w="201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tabs>
                <w:tab w:val="left" w:pos="4185"/>
              </w:tabs>
              <w:snapToGrid w:val="0"/>
              <w:ind w:firstLine="240" w:firstLineChars="100"/>
              <w:jc w:val="left"/>
              <w:rPr>
                <w:rFonts w:ascii="楷体_GB2312" w:hAnsi="楷体" w:eastAsia="楷体_GB2312"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color w:val="000000"/>
                <w:sz w:val="24"/>
              </w:rPr>
              <w:t>男</w:t>
            </w:r>
          </w:p>
        </w:tc>
        <w:tc>
          <w:tcPr>
            <w:tcW w:w="1984" w:type="dxa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drawing>
                <wp:inline distT="0" distB="0" distL="114300" distR="114300">
                  <wp:extent cx="1011555" cy="1415415"/>
                  <wp:effectExtent l="0" t="0" r="7620" b="3810"/>
                  <wp:docPr id="1" name="图片 1" descr="微信图片_201912231104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微信图片_20191223110424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555" cy="1415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出生日期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tabs>
                <w:tab w:val="left" w:pos="4185"/>
              </w:tabs>
              <w:snapToGrid w:val="0"/>
              <w:ind w:firstLine="240" w:firstLineChars="100"/>
              <w:jc w:val="left"/>
              <w:rPr>
                <w:rFonts w:ascii="楷体_GB2312" w:hAnsi="楷体" w:eastAsia="楷体_GB2312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/>
                <w:sz w:val="24"/>
              </w:rPr>
              <w:t>1981-07-15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民    族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tabs>
                <w:tab w:val="left" w:pos="4185"/>
              </w:tabs>
              <w:snapToGrid w:val="0"/>
              <w:ind w:firstLine="240" w:firstLineChars="100"/>
              <w:jc w:val="left"/>
              <w:rPr>
                <w:rFonts w:ascii="楷体_GB2312" w:hAnsi="楷体" w:eastAsia="楷体_GB2312"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color w:val="000000"/>
                <w:sz w:val="24"/>
              </w:rPr>
              <w:t>土家族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620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政治面貌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4185"/>
              </w:tabs>
              <w:snapToGrid w:val="0"/>
              <w:ind w:firstLine="240" w:firstLineChars="100"/>
              <w:jc w:val="left"/>
              <w:rPr>
                <w:rFonts w:ascii="楷体_GB2312" w:hAnsi="楷体" w:eastAsia="楷体_GB2312"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color w:val="000000"/>
                <w:sz w:val="24"/>
              </w:rPr>
              <w:t>无党派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学    历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4185"/>
              </w:tabs>
              <w:snapToGrid w:val="0"/>
              <w:ind w:firstLine="240" w:firstLineChars="100"/>
              <w:jc w:val="left"/>
              <w:rPr>
                <w:rFonts w:ascii="楷体_GB2312" w:hAnsi="楷体" w:eastAsia="楷体_GB2312"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color w:val="000000"/>
                <w:sz w:val="24"/>
              </w:rPr>
              <w:t>博士研究生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620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技术职称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tabs>
                <w:tab w:val="left" w:pos="4185"/>
              </w:tabs>
              <w:snapToGrid w:val="0"/>
              <w:ind w:firstLine="240" w:firstLineChars="100"/>
              <w:jc w:val="left"/>
              <w:rPr>
                <w:rFonts w:ascii="楷体_GB2312" w:hAnsi="楷体" w:eastAsia="楷体_GB2312"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color w:val="000000"/>
                <w:sz w:val="24"/>
              </w:rPr>
              <w:t>教授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行政职务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tabs>
                <w:tab w:val="left" w:pos="4185"/>
              </w:tabs>
              <w:snapToGrid w:val="0"/>
              <w:ind w:firstLine="240" w:firstLineChars="100"/>
              <w:jc w:val="left"/>
              <w:rPr>
                <w:rFonts w:ascii="楷体_GB2312" w:hAnsi="楷体" w:eastAsia="楷体_GB2312"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color w:val="000000"/>
                <w:sz w:val="24"/>
              </w:rPr>
              <w:t>副院长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工作单位</w:t>
            </w:r>
          </w:p>
        </w:tc>
        <w:tc>
          <w:tcPr>
            <w:tcW w:w="5396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tabs>
                <w:tab w:val="left" w:pos="4185"/>
              </w:tabs>
              <w:snapToGrid w:val="0"/>
              <w:ind w:firstLine="240" w:firstLineChars="100"/>
              <w:jc w:val="left"/>
              <w:rPr>
                <w:rFonts w:ascii="楷体_GB2312" w:hAnsi="楷体" w:eastAsia="楷体_GB2312"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color w:val="000000"/>
                <w:sz w:val="24"/>
              </w:rPr>
              <w:t>四川大学法学院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tabs>
                <w:tab w:val="left" w:pos="4185"/>
              </w:tabs>
              <w:snapToGrid w:val="0"/>
              <w:ind w:firstLine="240" w:firstLineChars="100"/>
              <w:jc w:val="left"/>
              <w:rPr>
                <w:rFonts w:ascii="楷体_GB2312" w:hAnsi="楷体"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通讯地址</w:t>
            </w:r>
          </w:p>
        </w:tc>
        <w:tc>
          <w:tcPr>
            <w:tcW w:w="7380" w:type="dxa"/>
            <w:gridSpan w:val="4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tabs>
                <w:tab w:val="left" w:pos="4185"/>
              </w:tabs>
              <w:snapToGrid w:val="0"/>
              <w:ind w:firstLine="240" w:firstLineChars="100"/>
              <w:jc w:val="left"/>
              <w:rPr>
                <w:rFonts w:ascii="楷体_GB2312" w:hAnsi="楷体" w:eastAsia="楷体_GB2312"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color w:val="000000"/>
                <w:sz w:val="24"/>
              </w:rPr>
              <w:t>四川省成都市双流区川大路四川大学江安校区法学院大楼</w:t>
            </w:r>
          </w:p>
        </w:tc>
      </w:tr>
    </w:tbl>
    <w:p>
      <w:pPr>
        <w:tabs>
          <w:tab w:val="left" w:pos="4185"/>
        </w:tabs>
        <w:snapToGrid w:val="0"/>
        <w:spacing w:before="156" w:beforeLines="50"/>
        <w:jc w:val="center"/>
        <w:rPr>
          <w:rFonts w:ascii="宋体" w:hAnsi="宋体"/>
          <w:b/>
          <w:color w:val="000000"/>
          <w:sz w:val="30"/>
          <w:szCs w:val="30"/>
        </w:rPr>
      </w:pPr>
      <w:r>
        <w:rPr>
          <w:rFonts w:hint="eastAsia" w:ascii="宋体" w:hAnsi="宋体"/>
          <w:b/>
          <w:color w:val="000000"/>
          <w:sz w:val="30"/>
          <w:szCs w:val="30"/>
        </w:rPr>
        <w:br w:type="page"/>
      </w:r>
    </w:p>
    <w:tbl>
      <w:tblPr>
        <w:tblStyle w:val="5"/>
        <w:tblpPr w:leftFromText="180" w:rightFromText="180" w:vertAnchor="text" w:horzAnchor="page" w:tblpX="1732" w:tblpY="1"/>
        <w:tblOverlap w:val="never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000" w:type="dxa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tabs>
                <w:tab w:val="left" w:pos="4185"/>
              </w:tabs>
              <w:snapToGrid w:val="0"/>
              <w:spacing w:before="156" w:beforeLines="50"/>
              <w:jc w:val="center"/>
              <w:rPr>
                <w:rFonts w:ascii="宋体" w:hAnsi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color w:val="000000"/>
                <w:sz w:val="30"/>
                <w:szCs w:val="30"/>
              </w:rPr>
              <w:t>重要学术成果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（包括专著和论文，只列书名和篇名即可。论文仅限于发表在核心期刊或全国性重要报纸上的。请注明署名方式、发表或出版时间、刊物或出版社、字数。代表性著作和论文请注明中国知网统计的被引用数。）</w:t>
            </w:r>
          </w:p>
          <w:p>
            <w:pPr>
              <w:tabs>
                <w:tab w:val="left" w:pos="4185"/>
                <w:tab w:val="left" w:pos="5110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ab/>
            </w: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ab/>
            </w:r>
          </w:p>
          <w:p>
            <w:pPr>
              <w:spacing w:line="360" w:lineRule="auto"/>
              <w:ind w:firstLine="422" w:firstLineChars="175"/>
              <w:rPr>
                <w:rFonts w:eastAsia="楷体"/>
                <w:b/>
                <w:sz w:val="24"/>
              </w:rPr>
            </w:pPr>
            <w:r>
              <w:rPr>
                <w:rFonts w:eastAsia="楷体"/>
                <w:b/>
                <w:sz w:val="24"/>
              </w:rPr>
              <w:t>一、著作</w:t>
            </w:r>
          </w:p>
          <w:p>
            <w:pPr>
              <w:spacing w:line="360" w:lineRule="auto"/>
              <w:ind w:firstLine="420" w:firstLineChars="175"/>
              <w:rPr>
                <w:rFonts w:eastAsia="楷体"/>
                <w:b/>
                <w:sz w:val="24"/>
              </w:rPr>
            </w:pPr>
            <w:r>
              <w:rPr>
                <w:rFonts w:eastAsia="楷体"/>
                <w:bCs/>
                <w:sz w:val="24"/>
              </w:rPr>
              <w:t>1.</w:t>
            </w:r>
            <w:r>
              <w:rPr>
                <w:rFonts w:eastAsia="楷体"/>
                <w:b/>
                <w:sz w:val="24"/>
              </w:rPr>
              <w:t>独著《后民法典时代的司法实践：民国四川基层诉讼中的法律与习惯（1935-1949）》，社会科学文献出版社2022年出版，15万字，获2022年四川大学哲学社会科学优秀成果奖。</w:t>
            </w:r>
            <w:r>
              <w:rPr>
                <w:rFonts w:hint="eastAsia" w:eastAsia="楷体"/>
                <w:b/>
                <w:sz w:val="24"/>
              </w:rPr>
              <w:t>本书内已刊论文共被引171次，其中整书（含原版与修订版）共被引35次。</w:t>
            </w:r>
          </w:p>
          <w:p>
            <w:pPr>
              <w:spacing w:line="360" w:lineRule="auto"/>
              <w:ind w:firstLine="420" w:firstLineChars="175"/>
              <w:rPr>
                <w:rFonts w:eastAsia="楷体"/>
                <w:bCs/>
                <w:sz w:val="24"/>
              </w:rPr>
            </w:pPr>
            <w:r>
              <w:rPr>
                <w:rFonts w:eastAsia="楷体"/>
                <w:bCs/>
                <w:sz w:val="24"/>
              </w:rPr>
              <w:t>2.整理《民国时期最高法院判例要旨（1927-1940）》，法律出版社2022年出版，120万字；</w:t>
            </w:r>
          </w:p>
          <w:p>
            <w:pPr>
              <w:spacing w:line="360" w:lineRule="auto"/>
              <w:ind w:firstLine="420" w:firstLineChars="175"/>
              <w:rPr>
                <w:rFonts w:eastAsia="楷体"/>
                <w:bCs/>
                <w:sz w:val="24"/>
              </w:rPr>
            </w:pPr>
            <w:r>
              <w:rPr>
                <w:rFonts w:eastAsia="楷体"/>
                <w:bCs/>
                <w:sz w:val="24"/>
              </w:rPr>
              <w:t>3.主编《法学教育近代化的地方实践》，四川大学出版社2022年出版，16万字；</w:t>
            </w:r>
          </w:p>
          <w:p>
            <w:pPr>
              <w:spacing w:line="360" w:lineRule="auto"/>
              <w:ind w:firstLine="420" w:firstLineChars="175"/>
              <w:rPr>
                <w:rFonts w:eastAsia="楷体"/>
                <w:bCs/>
                <w:sz w:val="24"/>
              </w:rPr>
            </w:pPr>
            <w:r>
              <w:rPr>
                <w:rFonts w:eastAsia="楷体"/>
                <w:bCs/>
                <w:sz w:val="24"/>
              </w:rPr>
              <w:t>4.独著《民法典如何实现：民国新繁县法律实践中权利与习惯》，中国政法大学2011年版，25万字；</w:t>
            </w:r>
          </w:p>
          <w:p>
            <w:pPr>
              <w:spacing w:line="360" w:lineRule="auto"/>
              <w:ind w:firstLine="420" w:firstLineChars="175"/>
              <w:rPr>
                <w:rFonts w:eastAsia="楷体"/>
                <w:bCs/>
                <w:sz w:val="24"/>
              </w:rPr>
            </w:pPr>
            <w:r>
              <w:rPr>
                <w:rFonts w:eastAsia="楷体"/>
                <w:bCs/>
                <w:sz w:val="24"/>
              </w:rPr>
              <w:t>5.主编《法律史评论》（CSSCI来源集刊，半年刊）</w:t>
            </w:r>
            <w:r>
              <w:rPr>
                <w:rFonts w:hint="eastAsia" w:eastAsia="楷体"/>
                <w:bCs/>
                <w:sz w:val="24"/>
              </w:rPr>
              <w:t>，每卷40万字</w:t>
            </w:r>
            <w:r>
              <w:rPr>
                <w:rFonts w:eastAsia="楷体"/>
                <w:bCs/>
                <w:sz w:val="24"/>
              </w:rPr>
              <w:t>；</w:t>
            </w:r>
          </w:p>
          <w:p>
            <w:pPr>
              <w:spacing w:line="360" w:lineRule="auto"/>
              <w:ind w:firstLine="420" w:firstLineChars="175"/>
              <w:rPr>
                <w:rFonts w:eastAsia="楷体"/>
                <w:bCs/>
                <w:sz w:val="24"/>
              </w:rPr>
            </w:pPr>
            <w:r>
              <w:rPr>
                <w:rFonts w:eastAsia="楷体"/>
                <w:bCs/>
                <w:sz w:val="24"/>
              </w:rPr>
              <w:t>6.主编《四川大学法律评论》（年刊）</w:t>
            </w:r>
            <w:r>
              <w:rPr>
                <w:rFonts w:hint="eastAsia" w:eastAsia="楷体"/>
                <w:bCs/>
                <w:sz w:val="24"/>
              </w:rPr>
              <w:t>，每卷30万字</w:t>
            </w:r>
            <w:r>
              <w:rPr>
                <w:rFonts w:eastAsia="楷体"/>
                <w:bCs/>
                <w:sz w:val="24"/>
              </w:rPr>
              <w:t>；</w:t>
            </w:r>
          </w:p>
          <w:p>
            <w:pPr>
              <w:spacing w:line="360" w:lineRule="auto"/>
              <w:ind w:firstLine="420" w:firstLineChars="175"/>
              <w:rPr>
                <w:rFonts w:eastAsia="楷体"/>
                <w:bCs/>
                <w:sz w:val="24"/>
              </w:rPr>
            </w:pPr>
            <w:r>
              <w:rPr>
                <w:rFonts w:eastAsia="楷体"/>
                <w:bCs/>
                <w:sz w:val="24"/>
              </w:rPr>
              <w:t>7.合著《民国时期基层社会纠纷及其裁断》，</w:t>
            </w:r>
            <w:r>
              <w:rPr>
                <w:rFonts w:hint="eastAsia" w:eastAsia="楷体"/>
                <w:bCs/>
                <w:sz w:val="24"/>
              </w:rPr>
              <w:t>20万字，</w:t>
            </w:r>
            <w:r>
              <w:rPr>
                <w:rFonts w:eastAsia="楷体"/>
                <w:bCs/>
                <w:sz w:val="24"/>
              </w:rPr>
              <w:t>四川省哲学社会科学成果三等奖。</w:t>
            </w:r>
          </w:p>
          <w:p>
            <w:pPr>
              <w:spacing w:line="360" w:lineRule="auto"/>
              <w:ind w:firstLine="420" w:firstLineChars="175"/>
              <w:rPr>
                <w:rFonts w:eastAsia="楷体"/>
                <w:bCs/>
                <w:sz w:val="24"/>
              </w:rPr>
            </w:pPr>
          </w:p>
          <w:p>
            <w:pPr>
              <w:spacing w:line="360" w:lineRule="auto"/>
              <w:ind w:firstLine="422" w:firstLineChars="175"/>
              <w:rPr>
                <w:rFonts w:eastAsia="楷体"/>
                <w:bCs/>
                <w:sz w:val="24"/>
              </w:rPr>
            </w:pPr>
            <w:r>
              <w:rPr>
                <w:rFonts w:eastAsia="楷体"/>
                <w:b/>
                <w:sz w:val="24"/>
              </w:rPr>
              <w:t>二、主要论文</w:t>
            </w:r>
          </w:p>
          <w:p>
            <w:pPr>
              <w:spacing w:line="360" w:lineRule="auto"/>
              <w:ind w:firstLine="422" w:firstLineChars="175"/>
              <w:rPr>
                <w:rFonts w:eastAsia="楷体"/>
                <w:b/>
                <w:sz w:val="24"/>
              </w:rPr>
            </w:pPr>
            <w:r>
              <w:rPr>
                <w:rFonts w:hint="eastAsia" w:eastAsia="楷体"/>
                <w:b/>
                <w:sz w:val="24"/>
              </w:rPr>
              <w:t>（一）</w:t>
            </w:r>
            <w:r>
              <w:rPr>
                <w:rFonts w:eastAsia="楷体"/>
                <w:b/>
                <w:sz w:val="24"/>
              </w:rPr>
              <w:t>权威核心</w:t>
            </w:r>
          </w:p>
          <w:p>
            <w:pPr>
              <w:spacing w:line="360" w:lineRule="auto"/>
              <w:ind w:firstLine="422" w:firstLineChars="175"/>
              <w:rPr>
                <w:rFonts w:eastAsia="楷体"/>
                <w:b/>
                <w:sz w:val="24"/>
              </w:rPr>
            </w:pPr>
            <w:r>
              <w:rPr>
                <w:rFonts w:eastAsia="楷体"/>
                <w:b/>
                <w:sz w:val="24"/>
              </w:rPr>
              <w:t xml:space="preserve">1.成文法背景下的判例实践——近代中国最高审判机构判例汇编与实效 </w:t>
            </w:r>
          </w:p>
          <w:p>
            <w:pPr>
              <w:spacing w:line="360" w:lineRule="auto"/>
              <w:ind w:firstLine="422" w:firstLineChars="175"/>
              <w:rPr>
                <w:rFonts w:eastAsia="楷体"/>
                <w:b/>
                <w:sz w:val="24"/>
              </w:rPr>
            </w:pPr>
            <w:r>
              <w:rPr>
                <w:rFonts w:eastAsia="楷体"/>
                <w:b/>
                <w:sz w:val="24"/>
              </w:rPr>
              <w:t xml:space="preserve"> 《法学研究》 2021（05）第193-208页  权威核心 </w:t>
            </w:r>
          </w:p>
          <w:p>
            <w:pPr>
              <w:spacing w:line="360" w:lineRule="auto"/>
              <w:ind w:firstLine="422" w:firstLineChars="175"/>
              <w:rPr>
                <w:rFonts w:eastAsia="楷体"/>
                <w:b/>
                <w:sz w:val="24"/>
              </w:rPr>
            </w:pPr>
            <w:r>
              <w:rPr>
                <w:rFonts w:eastAsia="楷体"/>
                <w:b/>
                <w:sz w:val="24"/>
              </w:rPr>
              <w:t xml:space="preserve"> 《人大复印资料（法理学法史学）》2022（2）全文转载</w:t>
            </w:r>
            <w:r>
              <w:rPr>
                <w:rFonts w:hint="eastAsia" w:eastAsia="楷体"/>
                <w:b/>
                <w:sz w:val="24"/>
              </w:rPr>
              <w:t xml:space="preserve">  被引次数2</w:t>
            </w:r>
          </w:p>
          <w:p>
            <w:pPr>
              <w:spacing w:line="360" w:lineRule="auto"/>
              <w:ind w:firstLine="422" w:firstLineChars="175"/>
              <w:rPr>
                <w:rFonts w:eastAsia="楷体"/>
                <w:b/>
                <w:sz w:val="24"/>
              </w:rPr>
            </w:pPr>
            <w:r>
              <w:rPr>
                <w:rFonts w:eastAsia="楷体"/>
                <w:b/>
                <w:sz w:val="24"/>
              </w:rPr>
              <w:t>2.实验法院:近代中国司法改革的一次地方试点</w:t>
            </w:r>
          </w:p>
          <w:p>
            <w:pPr>
              <w:spacing w:line="360" w:lineRule="auto"/>
              <w:ind w:firstLine="422" w:firstLineChars="175"/>
              <w:rPr>
                <w:rFonts w:eastAsia="楷体"/>
                <w:b/>
                <w:sz w:val="24"/>
              </w:rPr>
            </w:pPr>
            <w:r>
              <w:rPr>
                <w:rFonts w:eastAsia="楷体"/>
                <w:b/>
                <w:sz w:val="24"/>
              </w:rPr>
              <w:t>《中国法学》2015(05) 第206-222页 权威核心；</w:t>
            </w:r>
          </w:p>
          <w:p>
            <w:pPr>
              <w:spacing w:line="360" w:lineRule="auto"/>
              <w:ind w:firstLine="422" w:firstLineChars="175"/>
              <w:rPr>
                <w:rFonts w:eastAsia="楷体"/>
                <w:b/>
                <w:sz w:val="24"/>
              </w:rPr>
            </w:pPr>
            <w:r>
              <w:rPr>
                <w:rFonts w:eastAsia="楷体"/>
                <w:b/>
                <w:sz w:val="24"/>
              </w:rPr>
              <w:t>《人大复印资料（法理学法史学）》2016（2）全文转载</w:t>
            </w:r>
            <w:r>
              <w:rPr>
                <w:rFonts w:hint="eastAsia" w:eastAsia="楷体"/>
                <w:b/>
                <w:sz w:val="24"/>
              </w:rPr>
              <w:t xml:space="preserve">   被引次数14</w:t>
            </w:r>
          </w:p>
          <w:p>
            <w:pPr>
              <w:spacing w:line="360" w:lineRule="auto"/>
              <w:ind w:firstLine="422" w:firstLineChars="175"/>
              <w:rPr>
                <w:rFonts w:eastAsia="楷体"/>
                <w:b/>
                <w:sz w:val="24"/>
              </w:rPr>
            </w:pPr>
            <w:r>
              <w:rPr>
                <w:rFonts w:eastAsia="楷体"/>
                <w:b/>
                <w:sz w:val="24"/>
              </w:rPr>
              <w:t>中国法律文化研究成果二等奖</w:t>
            </w:r>
          </w:p>
          <w:p>
            <w:pPr>
              <w:spacing w:line="360" w:lineRule="auto"/>
              <w:ind w:firstLine="422" w:firstLineChars="175"/>
              <w:rPr>
                <w:rFonts w:eastAsia="楷体"/>
                <w:b/>
                <w:sz w:val="24"/>
              </w:rPr>
            </w:pPr>
            <w:r>
              <w:rPr>
                <w:rFonts w:hint="eastAsia" w:eastAsia="楷体"/>
                <w:b/>
                <w:sz w:val="24"/>
              </w:rPr>
              <w:t>（二）</w:t>
            </w:r>
            <w:r>
              <w:rPr>
                <w:rFonts w:eastAsia="楷体"/>
                <w:b/>
                <w:sz w:val="24"/>
              </w:rPr>
              <w:t>重要期刊</w:t>
            </w:r>
            <w:r>
              <w:rPr>
                <w:rFonts w:hint="eastAsia" w:eastAsia="楷体"/>
                <w:b/>
                <w:sz w:val="24"/>
              </w:rPr>
              <w:t>和转载</w:t>
            </w:r>
          </w:p>
          <w:p>
            <w:pPr>
              <w:spacing w:line="360" w:lineRule="auto"/>
              <w:ind w:firstLine="422" w:firstLineChars="175"/>
              <w:rPr>
                <w:rFonts w:eastAsia="楷体"/>
                <w:b/>
                <w:sz w:val="24"/>
              </w:rPr>
            </w:pPr>
            <w:r>
              <w:rPr>
                <w:rFonts w:eastAsia="楷体"/>
                <w:b/>
                <w:sz w:val="24"/>
              </w:rPr>
              <w:t>3.民国学者对民初大理院判例制度的研究</w:t>
            </w:r>
          </w:p>
          <w:p>
            <w:pPr>
              <w:spacing w:line="360" w:lineRule="auto"/>
              <w:ind w:firstLine="422" w:firstLineChars="175"/>
              <w:rPr>
                <w:rFonts w:eastAsia="楷体"/>
                <w:b/>
                <w:sz w:val="24"/>
              </w:rPr>
            </w:pPr>
            <w:r>
              <w:rPr>
                <w:rFonts w:eastAsia="楷体"/>
                <w:b/>
                <w:sz w:val="24"/>
              </w:rPr>
              <w:t xml:space="preserve">《东方法学》2011(05)第83-89页 </w:t>
            </w:r>
          </w:p>
          <w:p>
            <w:pPr>
              <w:spacing w:line="360" w:lineRule="auto"/>
              <w:ind w:firstLine="422" w:firstLineChars="175"/>
              <w:rPr>
                <w:rFonts w:eastAsia="楷体"/>
                <w:b/>
                <w:sz w:val="24"/>
              </w:rPr>
            </w:pPr>
            <w:r>
              <w:rPr>
                <w:rFonts w:eastAsia="楷体"/>
                <w:b/>
                <w:sz w:val="24"/>
              </w:rPr>
              <w:t>《人大复印资料（法理学法史学）》2012(03)全文转载</w:t>
            </w:r>
            <w:r>
              <w:rPr>
                <w:rFonts w:eastAsia="楷体"/>
                <w:b/>
                <w:sz w:val="24"/>
              </w:rPr>
              <w:tab/>
            </w:r>
            <w:r>
              <w:rPr>
                <w:rFonts w:hint="eastAsia" w:eastAsia="楷体"/>
                <w:b/>
                <w:sz w:val="24"/>
              </w:rPr>
              <w:t>被引次数 21</w:t>
            </w:r>
            <w:r>
              <w:rPr>
                <w:rFonts w:eastAsia="楷体"/>
                <w:b/>
                <w:sz w:val="24"/>
              </w:rPr>
              <w:tab/>
            </w:r>
          </w:p>
          <w:p>
            <w:pPr>
              <w:spacing w:line="360" w:lineRule="auto"/>
              <w:ind w:firstLine="422" w:firstLineChars="175"/>
              <w:rPr>
                <w:rFonts w:eastAsia="楷体"/>
                <w:b/>
                <w:sz w:val="24"/>
              </w:rPr>
            </w:pPr>
            <w:r>
              <w:rPr>
                <w:rFonts w:eastAsia="楷体"/>
                <w:b/>
                <w:sz w:val="24"/>
              </w:rPr>
              <w:t>4.后民法典时代的法律实践:传统民事制度的法典化类型与民国基层诉讼</w:t>
            </w:r>
          </w:p>
          <w:p>
            <w:pPr>
              <w:spacing w:line="360" w:lineRule="auto"/>
              <w:ind w:firstLine="422" w:firstLineChars="175"/>
              <w:rPr>
                <w:rFonts w:eastAsia="楷体"/>
                <w:b/>
                <w:sz w:val="24"/>
              </w:rPr>
            </w:pPr>
            <w:r>
              <w:rPr>
                <w:rFonts w:eastAsia="楷体"/>
                <w:b/>
                <w:sz w:val="24"/>
              </w:rPr>
              <w:t xml:space="preserve">《四川大学学报》2020(01)第131-137页  </w:t>
            </w:r>
          </w:p>
          <w:p>
            <w:pPr>
              <w:spacing w:line="360" w:lineRule="auto"/>
              <w:ind w:firstLine="422" w:firstLineChars="175"/>
              <w:rPr>
                <w:rFonts w:eastAsia="楷体"/>
                <w:b/>
                <w:sz w:val="24"/>
              </w:rPr>
            </w:pPr>
            <w:r>
              <w:rPr>
                <w:rFonts w:eastAsia="楷体"/>
                <w:b/>
                <w:sz w:val="24"/>
              </w:rPr>
              <w:t>《人大复印资料（法理学法史学）》2020（6）全文转载</w:t>
            </w:r>
            <w:r>
              <w:rPr>
                <w:rFonts w:eastAsia="楷体"/>
                <w:b/>
                <w:sz w:val="24"/>
              </w:rPr>
              <w:tab/>
            </w:r>
            <w:r>
              <w:rPr>
                <w:rFonts w:hint="eastAsia" w:eastAsia="楷体"/>
                <w:b/>
                <w:sz w:val="24"/>
              </w:rPr>
              <w:t xml:space="preserve"> 被引次数 8</w:t>
            </w:r>
          </w:p>
          <w:p>
            <w:pPr>
              <w:spacing w:line="360" w:lineRule="auto"/>
              <w:ind w:firstLine="422" w:firstLineChars="175"/>
              <w:rPr>
                <w:rFonts w:eastAsia="楷体"/>
                <w:b/>
                <w:sz w:val="24"/>
              </w:rPr>
            </w:pPr>
            <w:r>
              <w:rPr>
                <w:rFonts w:eastAsia="楷体"/>
                <w:b/>
                <w:sz w:val="24"/>
              </w:rPr>
              <w:t>5.近代中国基层司法中的批词研究</w:t>
            </w:r>
          </w:p>
          <w:p>
            <w:pPr>
              <w:spacing w:line="360" w:lineRule="auto"/>
              <w:ind w:firstLine="422" w:firstLineChars="175"/>
              <w:rPr>
                <w:rFonts w:eastAsia="楷体"/>
                <w:b/>
                <w:sz w:val="24"/>
              </w:rPr>
            </w:pPr>
            <w:r>
              <w:rPr>
                <w:rFonts w:eastAsia="楷体"/>
                <w:b/>
                <w:sz w:val="24"/>
              </w:rPr>
              <w:t xml:space="preserve">《政法论丛》2011(02)第117-122页 </w:t>
            </w:r>
          </w:p>
          <w:p>
            <w:pPr>
              <w:spacing w:line="360" w:lineRule="auto"/>
              <w:ind w:firstLine="422" w:firstLineChars="175"/>
              <w:rPr>
                <w:rFonts w:eastAsia="楷体"/>
                <w:b/>
                <w:sz w:val="24"/>
              </w:rPr>
            </w:pPr>
            <w:r>
              <w:rPr>
                <w:rFonts w:eastAsia="楷体"/>
                <w:b/>
                <w:sz w:val="24"/>
              </w:rPr>
              <w:t>《中国社会科学文摘》2011(09)全文转载</w:t>
            </w:r>
            <w:r>
              <w:rPr>
                <w:rFonts w:hint="eastAsia" w:eastAsia="楷体"/>
                <w:b/>
                <w:sz w:val="24"/>
              </w:rPr>
              <w:t xml:space="preserve">              被引次数17</w:t>
            </w:r>
          </w:p>
          <w:p>
            <w:pPr>
              <w:spacing w:line="360" w:lineRule="auto"/>
              <w:ind w:firstLine="422" w:firstLineChars="175"/>
              <w:rPr>
                <w:rFonts w:eastAsia="楷体"/>
                <w:b/>
                <w:sz w:val="24"/>
              </w:rPr>
            </w:pPr>
            <w:r>
              <w:rPr>
                <w:rFonts w:hint="eastAsia" w:eastAsia="楷体"/>
                <w:b/>
                <w:sz w:val="24"/>
              </w:rPr>
              <w:t>（三）</w:t>
            </w:r>
            <w:r>
              <w:rPr>
                <w:rFonts w:eastAsia="楷体"/>
                <w:b/>
                <w:sz w:val="24"/>
              </w:rPr>
              <w:t>核心期刊</w:t>
            </w:r>
          </w:p>
          <w:p>
            <w:pPr>
              <w:spacing w:line="360" w:lineRule="auto"/>
              <w:ind w:firstLine="420" w:firstLineChars="175"/>
              <w:rPr>
                <w:rFonts w:eastAsia="楷体"/>
                <w:bCs/>
                <w:sz w:val="24"/>
              </w:rPr>
            </w:pPr>
            <w:r>
              <w:rPr>
                <w:rFonts w:eastAsia="楷体"/>
                <w:bCs/>
                <w:sz w:val="24"/>
              </w:rPr>
              <w:t xml:space="preserve"> 6.引“情”入法:清代州县诉讼中习惯如何影响审断</w:t>
            </w:r>
          </w:p>
          <w:p>
            <w:pPr>
              <w:spacing w:line="360" w:lineRule="auto"/>
              <w:ind w:firstLine="420" w:firstLineChars="175"/>
              <w:rPr>
                <w:rFonts w:eastAsia="楷体"/>
                <w:bCs/>
                <w:sz w:val="24"/>
              </w:rPr>
            </w:pPr>
            <w:r>
              <w:rPr>
                <w:rFonts w:eastAsia="楷体"/>
                <w:bCs/>
                <w:sz w:val="24"/>
              </w:rPr>
              <w:t>《山东大学学报》2009(01)第18-23页</w:t>
            </w:r>
            <w:r>
              <w:rPr>
                <w:rFonts w:hint="eastAsia" w:eastAsia="楷体"/>
                <w:bCs/>
                <w:sz w:val="24"/>
              </w:rPr>
              <w:t xml:space="preserve">               被引次数 22</w:t>
            </w:r>
          </w:p>
          <w:p>
            <w:pPr>
              <w:spacing w:line="360" w:lineRule="auto"/>
              <w:ind w:firstLine="420" w:firstLineChars="175"/>
              <w:rPr>
                <w:rFonts w:eastAsia="楷体"/>
                <w:bCs/>
                <w:sz w:val="24"/>
              </w:rPr>
            </w:pPr>
            <w:r>
              <w:rPr>
                <w:rFonts w:eastAsia="楷体"/>
                <w:bCs/>
                <w:sz w:val="24"/>
              </w:rPr>
              <w:t>7.“中国法的历史”还是“西方法在中国的历史”——中国法律史研究的再思考</w:t>
            </w:r>
          </w:p>
          <w:p>
            <w:pPr>
              <w:spacing w:line="360" w:lineRule="auto"/>
              <w:ind w:firstLine="420" w:firstLineChars="175"/>
              <w:rPr>
                <w:rFonts w:eastAsia="楷体"/>
                <w:bCs/>
                <w:sz w:val="24"/>
              </w:rPr>
            </w:pPr>
            <w:r>
              <w:rPr>
                <w:rFonts w:eastAsia="楷体"/>
                <w:bCs/>
                <w:sz w:val="24"/>
              </w:rPr>
              <w:t>《社会科学研究》，2009(04)第86-91页</w:t>
            </w:r>
          </w:p>
          <w:p>
            <w:pPr>
              <w:spacing w:line="360" w:lineRule="auto"/>
              <w:ind w:firstLine="420" w:firstLineChars="175"/>
              <w:rPr>
                <w:rFonts w:eastAsia="楷体"/>
                <w:bCs/>
                <w:sz w:val="24"/>
              </w:rPr>
            </w:pPr>
            <w:r>
              <w:rPr>
                <w:rFonts w:hint="eastAsia" w:eastAsia="楷体"/>
                <w:bCs/>
                <w:sz w:val="24"/>
              </w:rPr>
              <w:t>《光明日报》转载、《中国社会科学文摘》论点摘编  被引次数 32</w:t>
            </w:r>
          </w:p>
          <w:p>
            <w:pPr>
              <w:spacing w:line="360" w:lineRule="auto"/>
              <w:ind w:firstLine="420" w:firstLineChars="175"/>
              <w:rPr>
                <w:rFonts w:eastAsia="楷体"/>
                <w:bCs/>
                <w:sz w:val="24"/>
              </w:rPr>
            </w:pPr>
            <w:r>
              <w:rPr>
                <w:rFonts w:eastAsia="楷体"/>
                <w:bCs/>
                <w:sz w:val="24"/>
              </w:rPr>
              <w:t>8.以和为贵:民国时期基层民事纠纷中的调解</w:t>
            </w:r>
            <w:r>
              <w:rPr>
                <w:rFonts w:eastAsia="楷体"/>
                <w:bCs/>
                <w:sz w:val="24"/>
              </w:rPr>
              <w:tab/>
            </w:r>
          </w:p>
          <w:p>
            <w:pPr>
              <w:spacing w:line="360" w:lineRule="auto"/>
              <w:ind w:firstLine="420" w:firstLineChars="175"/>
              <w:rPr>
                <w:rFonts w:eastAsia="楷体"/>
                <w:bCs/>
                <w:sz w:val="24"/>
              </w:rPr>
            </w:pPr>
            <w:r>
              <w:rPr>
                <w:rFonts w:eastAsia="楷体"/>
                <w:bCs/>
                <w:sz w:val="24"/>
              </w:rPr>
              <w:t>《山东大学学报》2011(04)第39-45页</w:t>
            </w:r>
            <w:r>
              <w:rPr>
                <w:rFonts w:eastAsia="楷体"/>
                <w:bCs/>
                <w:sz w:val="24"/>
              </w:rPr>
              <w:tab/>
            </w:r>
            <w:r>
              <w:rPr>
                <w:rFonts w:hint="eastAsia" w:eastAsia="楷体"/>
                <w:bCs/>
                <w:sz w:val="24"/>
              </w:rPr>
              <w:t xml:space="preserve">             被引次数 31</w:t>
            </w:r>
          </w:p>
          <w:p>
            <w:pPr>
              <w:spacing w:line="360" w:lineRule="auto"/>
              <w:ind w:firstLine="420" w:firstLineChars="175"/>
              <w:rPr>
                <w:rFonts w:eastAsia="楷体"/>
                <w:bCs/>
                <w:sz w:val="24"/>
              </w:rPr>
            </w:pPr>
            <w:r>
              <w:rPr>
                <w:rFonts w:eastAsia="楷体"/>
                <w:bCs/>
                <w:sz w:val="24"/>
              </w:rPr>
              <w:t>9.实用型司法:近代中国基层民事审判传统</w:t>
            </w:r>
          </w:p>
          <w:p>
            <w:pPr>
              <w:spacing w:line="360" w:lineRule="auto"/>
              <w:ind w:firstLine="420" w:firstLineChars="175"/>
              <w:rPr>
                <w:rFonts w:eastAsia="楷体"/>
                <w:bCs/>
                <w:sz w:val="24"/>
              </w:rPr>
            </w:pPr>
            <w:r>
              <w:rPr>
                <w:rFonts w:eastAsia="楷体"/>
                <w:bCs/>
                <w:sz w:val="24"/>
              </w:rPr>
              <w:t>《四川大学学报》2011(02)第30-37页</w:t>
            </w:r>
            <w:r>
              <w:rPr>
                <w:rFonts w:eastAsia="楷体"/>
                <w:bCs/>
                <w:sz w:val="24"/>
              </w:rPr>
              <w:tab/>
            </w:r>
            <w:r>
              <w:rPr>
                <w:rFonts w:hint="eastAsia" w:eastAsia="楷体"/>
                <w:bCs/>
                <w:sz w:val="24"/>
              </w:rPr>
              <w:t xml:space="preserve">             被引次数 27</w:t>
            </w:r>
          </w:p>
          <w:p>
            <w:pPr>
              <w:spacing w:line="360" w:lineRule="auto"/>
              <w:ind w:firstLine="420" w:firstLineChars="175"/>
              <w:rPr>
                <w:rFonts w:eastAsia="楷体"/>
                <w:bCs/>
                <w:sz w:val="24"/>
              </w:rPr>
            </w:pPr>
            <w:r>
              <w:rPr>
                <w:rFonts w:eastAsia="楷体"/>
                <w:bCs/>
                <w:sz w:val="24"/>
              </w:rPr>
              <w:t>10.在法律与历史之间:历史法学及其中国意义</w:t>
            </w:r>
          </w:p>
          <w:p>
            <w:pPr>
              <w:spacing w:line="360" w:lineRule="auto"/>
              <w:ind w:firstLine="420" w:firstLineChars="175"/>
              <w:rPr>
                <w:rFonts w:eastAsia="楷体"/>
                <w:bCs/>
                <w:sz w:val="24"/>
              </w:rPr>
            </w:pPr>
            <w:r>
              <w:rPr>
                <w:rFonts w:eastAsia="楷体"/>
                <w:bCs/>
                <w:sz w:val="24"/>
              </w:rPr>
              <w:t>《西南民族大学学报》2020（07）</w:t>
            </w:r>
          </w:p>
          <w:p>
            <w:pPr>
              <w:spacing w:line="360" w:lineRule="auto"/>
              <w:ind w:firstLine="420" w:firstLineChars="175"/>
              <w:rPr>
                <w:rFonts w:eastAsia="楷体"/>
                <w:bCs/>
                <w:sz w:val="24"/>
              </w:rPr>
            </w:pPr>
            <w:r>
              <w:rPr>
                <w:rFonts w:eastAsia="楷体"/>
                <w:bCs/>
                <w:sz w:val="24"/>
              </w:rPr>
              <w:t>11.传统权利的去精神化境遇:民国坟产纠纷的法律规范与司法实践</w:t>
            </w:r>
          </w:p>
          <w:p>
            <w:pPr>
              <w:spacing w:line="360" w:lineRule="auto"/>
              <w:ind w:firstLine="420" w:firstLineChars="175"/>
              <w:rPr>
                <w:rFonts w:eastAsia="楷体"/>
                <w:bCs/>
                <w:sz w:val="24"/>
              </w:rPr>
            </w:pPr>
            <w:r>
              <w:rPr>
                <w:rFonts w:eastAsia="楷体"/>
                <w:bCs/>
                <w:sz w:val="24"/>
              </w:rPr>
              <w:t>《法治现代化研究》2019.3(05) 第122-133页</w:t>
            </w:r>
          </w:p>
          <w:p>
            <w:pPr>
              <w:spacing w:line="360" w:lineRule="auto"/>
              <w:ind w:firstLine="420" w:firstLineChars="175"/>
              <w:rPr>
                <w:rFonts w:eastAsia="楷体"/>
                <w:bCs/>
                <w:sz w:val="24"/>
              </w:rPr>
            </w:pPr>
            <w:r>
              <w:rPr>
                <w:rFonts w:eastAsia="楷体"/>
                <w:bCs/>
                <w:sz w:val="24"/>
              </w:rPr>
              <w:t>12.我国民法典编纂史上习惯规范的变迁</w:t>
            </w:r>
          </w:p>
          <w:p>
            <w:pPr>
              <w:spacing w:line="360" w:lineRule="auto"/>
              <w:ind w:firstLine="420" w:firstLineChars="175"/>
              <w:rPr>
                <w:rFonts w:eastAsia="楷体"/>
                <w:bCs/>
                <w:sz w:val="24"/>
              </w:rPr>
            </w:pPr>
            <w:r>
              <w:rPr>
                <w:rFonts w:eastAsia="楷体"/>
                <w:bCs/>
                <w:sz w:val="24"/>
              </w:rPr>
              <w:t xml:space="preserve">《民间法》2021(03)第121-135页 </w:t>
            </w:r>
          </w:p>
          <w:p>
            <w:pPr>
              <w:spacing w:line="360" w:lineRule="auto"/>
              <w:ind w:firstLine="420" w:firstLineChars="175"/>
              <w:rPr>
                <w:rFonts w:eastAsia="楷体"/>
                <w:bCs/>
                <w:sz w:val="24"/>
              </w:rPr>
            </w:pPr>
            <w:r>
              <w:rPr>
                <w:rFonts w:eastAsia="楷体"/>
                <w:bCs/>
                <w:sz w:val="24"/>
              </w:rPr>
              <w:t>13.“法与时转则治”：陈启天的新法家思想</w:t>
            </w:r>
            <w:r>
              <w:rPr>
                <w:rFonts w:eastAsia="楷体"/>
                <w:bCs/>
                <w:sz w:val="24"/>
              </w:rPr>
              <w:tab/>
            </w:r>
          </w:p>
          <w:p>
            <w:pPr>
              <w:spacing w:line="360" w:lineRule="auto"/>
              <w:ind w:firstLine="420" w:firstLineChars="175"/>
              <w:rPr>
                <w:rFonts w:eastAsia="楷体"/>
                <w:bCs/>
                <w:sz w:val="24"/>
              </w:rPr>
            </w:pPr>
            <w:r>
              <w:rPr>
                <w:rFonts w:eastAsia="楷体"/>
                <w:bCs/>
                <w:sz w:val="24"/>
              </w:rPr>
              <w:t>《原道》2020年卷，第164-176</w:t>
            </w:r>
          </w:p>
          <w:p>
            <w:pPr>
              <w:spacing w:line="360" w:lineRule="auto"/>
              <w:ind w:firstLine="420" w:firstLineChars="175"/>
              <w:rPr>
                <w:rFonts w:eastAsia="楷体"/>
                <w:bCs/>
                <w:sz w:val="24"/>
              </w:rPr>
            </w:pPr>
            <w:r>
              <w:rPr>
                <w:rFonts w:eastAsia="楷体"/>
                <w:bCs/>
                <w:sz w:val="24"/>
              </w:rPr>
              <w:t>14.平武外役监：国民政府时期监犯移垦与监狱改良的地方试点</w:t>
            </w:r>
          </w:p>
          <w:p>
            <w:pPr>
              <w:tabs>
                <w:tab w:val="left" w:pos="4185"/>
              </w:tabs>
              <w:snapToGrid w:val="0"/>
              <w:ind w:firstLine="480" w:firstLineChars="200"/>
              <w:jc w:val="left"/>
              <w:rPr>
                <w:rFonts w:ascii="楷体" w:hAnsi="楷体" w:eastAsia="楷体"/>
                <w:bCs/>
                <w:sz w:val="24"/>
              </w:rPr>
            </w:pPr>
            <w:r>
              <w:rPr>
                <w:rFonts w:eastAsia="楷体"/>
                <w:bCs/>
                <w:sz w:val="24"/>
              </w:rPr>
              <w:t>《近代中国》2019(02)</w:t>
            </w:r>
            <w:r>
              <w:rPr>
                <w:rFonts w:hint="eastAsia" w:eastAsia="楷体"/>
                <w:bCs/>
                <w:sz w:val="24"/>
              </w:rPr>
              <w:t>，</w:t>
            </w:r>
            <w:r>
              <w:rPr>
                <w:rFonts w:eastAsia="楷体"/>
                <w:bCs/>
                <w:sz w:val="24"/>
              </w:rPr>
              <w:t>第31-51页</w:t>
            </w:r>
          </w:p>
        </w:tc>
      </w:tr>
    </w:tbl>
    <w:p>
      <w:pPr>
        <w:tabs>
          <w:tab w:val="left" w:pos="4185"/>
        </w:tabs>
        <w:snapToGrid w:val="0"/>
        <w:spacing w:before="156" w:beforeLines="50"/>
        <w:jc w:val="center"/>
        <w:rPr>
          <w:rFonts w:ascii="宋体" w:hAnsi="宋体"/>
          <w:b/>
          <w:color w:val="000000"/>
          <w:sz w:val="30"/>
          <w:szCs w:val="30"/>
        </w:rPr>
      </w:pPr>
    </w:p>
    <w:tbl>
      <w:tblPr>
        <w:tblStyle w:val="5"/>
        <w:tblpPr w:leftFromText="180" w:rightFromText="180" w:vertAnchor="text" w:horzAnchor="page" w:tblpX="1732" w:tblpY="1"/>
        <w:tblOverlap w:val="never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73" w:hRule="atLeast"/>
        </w:trPr>
        <w:tc>
          <w:tcPr>
            <w:tcW w:w="9000" w:type="dxa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tabs>
                <w:tab w:val="left" w:pos="4185"/>
              </w:tabs>
              <w:snapToGrid w:val="0"/>
              <w:spacing w:before="156" w:beforeLines="50"/>
              <w:jc w:val="center"/>
              <w:rPr>
                <w:rFonts w:cs="Arial"/>
                <w:b/>
                <w:kern w:val="0"/>
                <w:sz w:val="30"/>
                <w:szCs w:val="30"/>
              </w:rPr>
            </w:pPr>
            <w:r>
              <w:rPr>
                <w:rFonts w:cs="Arial"/>
                <w:b/>
                <w:kern w:val="0"/>
                <w:sz w:val="30"/>
                <w:szCs w:val="30"/>
              </w:rPr>
              <w:t>获得奖项</w:t>
            </w:r>
            <w:r>
              <w:rPr>
                <w:rFonts w:hint="eastAsia" w:cs="Arial"/>
                <w:b/>
                <w:kern w:val="0"/>
                <w:sz w:val="30"/>
                <w:szCs w:val="30"/>
              </w:rPr>
              <w:t>和表彰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" w:hAnsi="楷体" w:eastAsia="楷体" w:cs="Arial"/>
                <w:b/>
                <w:kern w:val="0"/>
                <w:sz w:val="24"/>
              </w:rPr>
            </w:pPr>
            <w:r>
              <w:rPr>
                <w:rFonts w:hint="eastAsia" w:ascii="楷体" w:hAnsi="楷体" w:eastAsia="楷体" w:cs="Arial"/>
                <w:b/>
                <w:kern w:val="0"/>
                <w:sz w:val="24"/>
              </w:rPr>
              <w:t>（请注明获得时间及等级）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hint="eastAsia" w:cs="Arial"/>
                <w:kern w:val="0"/>
                <w:sz w:val="32"/>
                <w:szCs w:val="32"/>
              </w:rPr>
              <w:t xml:space="preserve">   </w:t>
            </w:r>
          </w:p>
          <w:p>
            <w:pPr>
              <w:tabs>
                <w:tab w:val="left" w:pos="4185"/>
              </w:tabs>
              <w:snapToGrid w:val="0"/>
              <w:ind w:firstLine="723" w:firstLineChars="300"/>
              <w:rPr>
                <w:b/>
                <w:kern w:val="0"/>
                <w:sz w:val="24"/>
              </w:rPr>
            </w:pPr>
            <w:r>
              <w:rPr>
                <w:rFonts w:hint="eastAsia" w:eastAsia="楷体"/>
                <w:b/>
                <w:sz w:val="24"/>
              </w:rPr>
              <w:t>一、</w:t>
            </w:r>
            <w:r>
              <w:rPr>
                <w:rFonts w:eastAsia="楷体"/>
                <w:b/>
                <w:sz w:val="24"/>
              </w:rPr>
              <w:t>科研类</w:t>
            </w:r>
          </w:p>
          <w:p>
            <w:pPr>
              <w:spacing w:line="360" w:lineRule="auto"/>
              <w:ind w:firstLine="420" w:firstLineChars="175"/>
              <w:rPr>
                <w:rFonts w:eastAsia="楷体"/>
                <w:bCs/>
                <w:sz w:val="24"/>
              </w:rPr>
            </w:pPr>
            <w:r>
              <w:rPr>
                <w:rFonts w:eastAsia="楷体"/>
                <w:bCs/>
                <w:sz w:val="24"/>
              </w:rPr>
              <w:t>2021 中国法律文化研究成果奖二等奖</w:t>
            </w:r>
          </w:p>
          <w:p>
            <w:pPr>
              <w:spacing w:line="360" w:lineRule="auto"/>
              <w:ind w:firstLine="420" w:firstLineChars="175"/>
              <w:rPr>
                <w:rFonts w:eastAsia="楷体"/>
                <w:bCs/>
                <w:sz w:val="24"/>
              </w:rPr>
            </w:pPr>
            <w:r>
              <w:rPr>
                <w:rFonts w:eastAsia="楷体"/>
                <w:bCs/>
                <w:sz w:val="24"/>
              </w:rPr>
              <w:t>2010 四川省第十四次哲学社会科学优秀成果奖三等奖</w:t>
            </w:r>
          </w:p>
          <w:p>
            <w:pPr>
              <w:spacing w:line="360" w:lineRule="auto"/>
              <w:ind w:firstLine="420" w:firstLineChars="175"/>
              <w:rPr>
                <w:rFonts w:eastAsia="楷体"/>
                <w:bCs/>
                <w:sz w:val="24"/>
              </w:rPr>
            </w:pPr>
            <w:r>
              <w:rPr>
                <w:rFonts w:eastAsia="楷体"/>
                <w:bCs/>
                <w:sz w:val="24"/>
              </w:rPr>
              <w:t>2022 四川大学哲学社会科学优秀成果奖</w:t>
            </w:r>
          </w:p>
          <w:p>
            <w:pPr>
              <w:spacing w:line="360" w:lineRule="auto"/>
              <w:ind w:firstLine="420" w:firstLineChars="175"/>
              <w:rPr>
                <w:rFonts w:eastAsia="楷体"/>
                <w:bCs/>
                <w:sz w:val="24"/>
              </w:rPr>
            </w:pPr>
          </w:p>
          <w:p>
            <w:pPr>
              <w:spacing w:line="360" w:lineRule="auto"/>
              <w:ind w:firstLine="663" w:firstLineChars="275"/>
              <w:rPr>
                <w:rFonts w:eastAsia="楷体"/>
                <w:b/>
                <w:sz w:val="24"/>
              </w:rPr>
            </w:pPr>
            <w:r>
              <w:rPr>
                <w:rFonts w:hint="eastAsia" w:eastAsia="楷体"/>
                <w:b/>
                <w:sz w:val="24"/>
              </w:rPr>
              <w:t>二、</w:t>
            </w:r>
            <w:r>
              <w:rPr>
                <w:rFonts w:eastAsia="楷体"/>
                <w:b/>
                <w:sz w:val="24"/>
              </w:rPr>
              <w:t>人才类</w:t>
            </w:r>
          </w:p>
          <w:p>
            <w:pPr>
              <w:spacing w:line="360" w:lineRule="auto"/>
              <w:ind w:firstLine="420" w:firstLineChars="175"/>
              <w:rPr>
                <w:rFonts w:eastAsia="楷体"/>
                <w:bCs/>
                <w:sz w:val="24"/>
              </w:rPr>
            </w:pPr>
            <w:r>
              <w:rPr>
                <w:rFonts w:eastAsia="楷体"/>
                <w:bCs/>
                <w:sz w:val="24"/>
              </w:rPr>
              <w:t>2020 四川省天府万人计划“天府社科菁英”</w:t>
            </w:r>
          </w:p>
          <w:p>
            <w:pPr>
              <w:spacing w:line="360" w:lineRule="auto"/>
              <w:ind w:firstLine="420" w:firstLineChars="175"/>
              <w:rPr>
                <w:rFonts w:eastAsia="楷体"/>
                <w:bCs/>
                <w:sz w:val="24"/>
              </w:rPr>
            </w:pPr>
            <w:r>
              <w:rPr>
                <w:rFonts w:eastAsia="楷体"/>
                <w:bCs/>
                <w:sz w:val="24"/>
              </w:rPr>
              <w:t xml:space="preserve">2021 四川省学术与技术带头人后备人选 </w:t>
            </w:r>
          </w:p>
          <w:p>
            <w:pPr>
              <w:spacing w:line="360" w:lineRule="auto"/>
              <w:ind w:firstLine="420" w:firstLineChars="175"/>
              <w:rPr>
                <w:rFonts w:eastAsia="楷体"/>
                <w:bCs/>
                <w:sz w:val="24"/>
              </w:rPr>
            </w:pPr>
            <w:r>
              <w:rPr>
                <w:rFonts w:eastAsia="楷体"/>
                <w:bCs/>
                <w:sz w:val="24"/>
              </w:rPr>
              <w:t>2015 教育部中央政法委“双千计划”</w:t>
            </w:r>
          </w:p>
          <w:p>
            <w:pPr>
              <w:spacing w:line="360" w:lineRule="auto"/>
              <w:ind w:firstLine="420" w:firstLineChars="175"/>
              <w:rPr>
                <w:rFonts w:eastAsia="楷体"/>
                <w:bCs/>
                <w:sz w:val="24"/>
              </w:rPr>
            </w:pPr>
          </w:p>
          <w:p>
            <w:pPr>
              <w:spacing w:line="360" w:lineRule="auto"/>
              <w:ind w:firstLine="663" w:firstLineChars="275"/>
              <w:rPr>
                <w:rFonts w:eastAsia="楷体"/>
                <w:b/>
                <w:sz w:val="24"/>
              </w:rPr>
            </w:pPr>
            <w:r>
              <w:rPr>
                <w:rFonts w:hint="eastAsia" w:eastAsia="楷体"/>
                <w:b/>
                <w:sz w:val="24"/>
              </w:rPr>
              <w:t>三、</w:t>
            </w:r>
            <w:r>
              <w:rPr>
                <w:rFonts w:eastAsia="楷体"/>
                <w:b/>
                <w:sz w:val="24"/>
              </w:rPr>
              <w:t>教学类</w:t>
            </w:r>
          </w:p>
          <w:p>
            <w:pPr>
              <w:spacing w:line="360" w:lineRule="auto"/>
              <w:ind w:firstLine="420" w:firstLineChars="175"/>
              <w:rPr>
                <w:rFonts w:eastAsia="楷体"/>
                <w:bCs/>
                <w:sz w:val="24"/>
              </w:rPr>
            </w:pPr>
            <w:r>
              <w:rPr>
                <w:rFonts w:eastAsia="楷体"/>
                <w:bCs/>
                <w:sz w:val="24"/>
              </w:rPr>
              <w:t>2022 第十七届“挑战杯”全国大学生课外学术科技作品竞赛一等奖指导老师</w:t>
            </w:r>
          </w:p>
          <w:p>
            <w:pPr>
              <w:spacing w:line="360" w:lineRule="auto"/>
              <w:ind w:firstLine="420" w:firstLineChars="175"/>
              <w:rPr>
                <w:rFonts w:eastAsia="楷体"/>
                <w:bCs/>
                <w:sz w:val="24"/>
              </w:rPr>
            </w:pPr>
            <w:r>
              <w:rPr>
                <w:rFonts w:eastAsia="楷体"/>
                <w:bCs/>
                <w:sz w:val="24"/>
              </w:rPr>
              <w:t>2022 四川大学全国大学生课外学术科技作品竞赛优秀指导教师</w:t>
            </w:r>
          </w:p>
          <w:p>
            <w:pPr>
              <w:spacing w:line="360" w:lineRule="auto"/>
              <w:ind w:firstLine="420" w:firstLineChars="175"/>
              <w:rPr>
                <w:rFonts w:eastAsia="楷体"/>
                <w:bCs/>
                <w:sz w:val="24"/>
              </w:rPr>
            </w:pPr>
            <w:r>
              <w:rPr>
                <w:rFonts w:eastAsia="楷体"/>
                <w:bCs/>
                <w:sz w:val="24"/>
              </w:rPr>
              <w:t>2021 四川省大学生课外学术科技作品竞赛一等奖指导老师</w:t>
            </w:r>
          </w:p>
          <w:p>
            <w:pPr>
              <w:spacing w:line="360" w:lineRule="auto"/>
              <w:ind w:firstLine="420" w:firstLineChars="175"/>
              <w:rPr>
                <w:rFonts w:eastAsia="楷体"/>
                <w:bCs/>
                <w:sz w:val="24"/>
              </w:rPr>
            </w:pPr>
            <w:r>
              <w:rPr>
                <w:rFonts w:eastAsia="楷体"/>
                <w:bCs/>
                <w:sz w:val="24"/>
              </w:rPr>
              <w:t>2022 四川大学教学成果奖一等奖</w:t>
            </w:r>
          </w:p>
          <w:p>
            <w:pPr>
              <w:spacing w:line="360" w:lineRule="auto"/>
              <w:ind w:firstLine="420" w:firstLineChars="175"/>
              <w:rPr>
                <w:rFonts w:eastAsia="楷体"/>
                <w:bCs/>
                <w:sz w:val="24"/>
              </w:rPr>
            </w:pPr>
            <w:r>
              <w:rPr>
                <w:rFonts w:eastAsia="楷体"/>
                <w:bCs/>
                <w:sz w:val="24"/>
              </w:rPr>
              <w:t xml:space="preserve">2022 四川大学学生创新创业大赛三等奖 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cs="Arial"/>
                <w:kern w:val="0"/>
                <w:sz w:val="32"/>
                <w:szCs w:val="32"/>
              </w:rPr>
            </w:pPr>
          </w:p>
        </w:tc>
      </w:tr>
    </w:tbl>
    <w:p>
      <w:pPr>
        <w:snapToGrid w:val="0"/>
        <w:rPr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55CDBE2D-BDE1-426C-8CAE-C15B8601A01E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2" w:fontKey="{74207AFE-E469-4DEF-8FDD-C7F6D2571253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F70CCD1D-97DB-4A42-B607-41332C84B2D9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E8FD6FE4-CCD6-4165-B95F-A893830C0CB2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5" w:fontKey="{B131C25D-61DB-4D04-BBB9-843A4A123DA7}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  <w:embedRegular r:id="rId6" w:fontKey="{69FF55FD-840E-403F-9C6D-BEBBE450FD39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7" w:fontKey="{95C95A84-343A-4D89-88F6-DB14D4108236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8" w:fontKey="{43CD6E54-478C-43FC-B652-B5B11A449DCB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9" w:fontKey="{B573F747-D774-4E67-849C-ABE1F2EC63C8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10" w:fontKey="{91587049-F055-4721-BADE-EEDF61F82BA0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7B24C2"/>
    <w:multiLevelType w:val="singleLevel"/>
    <w:tmpl w:val="CF7B24C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kxNWNjNDYyYTNmOTgxMGY2OWQ2MmJlMDMyM2M5ZmIifQ=="/>
  </w:docVars>
  <w:rsids>
    <w:rsidRoot w:val="AFFF087D"/>
    <w:rsid w:val="0001483F"/>
    <w:rsid w:val="000F51DC"/>
    <w:rsid w:val="000F798F"/>
    <w:rsid w:val="00101301"/>
    <w:rsid w:val="00152C0B"/>
    <w:rsid w:val="00261B34"/>
    <w:rsid w:val="0027078D"/>
    <w:rsid w:val="002A5DF1"/>
    <w:rsid w:val="002C1D9D"/>
    <w:rsid w:val="002E3814"/>
    <w:rsid w:val="002F055C"/>
    <w:rsid w:val="00303A52"/>
    <w:rsid w:val="003725D1"/>
    <w:rsid w:val="00380A5D"/>
    <w:rsid w:val="003A59AE"/>
    <w:rsid w:val="003D061C"/>
    <w:rsid w:val="00436D99"/>
    <w:rsid w:val="004506E0"/>
    <w:rsid w:val="0052358C"/>
    <w:rsid w:val="0058169A"/>
    <w:rsid w:val="005E3762"/>
    <w:rsid w:val="005F4DF2"/>
    <w:rsid w:val="006254AA"/>
    <w:rsid w:val="00632DB5"/>
    <w:rsid w:val="00637DA0"/>
    <w:rsid w:val="006B3F81"/>
    <w:rsid w:val="006C3FAF"/>
    <w:rsid w:val="00753E96"/>
    <w:rsid w:val="00767F7C"/>
    <w:rsid w:val="007C5100"/>
    <w:rsid w:val="007D016C"/>
    <w:rsid w:val="00800BEF"/>
    <w:rsid w:val="00811B83"/>
    <w:rsid w:val="00892CDF"/>
    <w:rsid w:val="008A12F0"/>
    <w:rsid w:val="008A4C81"/>
    <w:rsid w:val="008E545F"/>
    <w:rsid w:val="008F101C"/>
    <w:rsid w:val="00936E10"/>
    <w:rsid w:val="00960BB8"/>
    <w:rsid w:val="00A04363"/>
    <w:rsid w:val="00A06E98"/>
    <w:rsid w:val="00A2283D"/>
    <w:rsid w:val="00B4797B"/>
    <w:rsid w:val="00B66342"/>
    <w:rsid w:val="00B75324"/>
    <w:rsid w:val="00BA2410"/>
    <w:rsid w:val="00BE645D"/>
    <w:rsid w:val="00C13742"/>
    <w:rsid w:val="00C43C98"/>
    <w:rsid w:val="00C61D0C"/>
    <w:rsid w:val="00C63701"/>
    <w:rsid w:val="00C64AE5"/>
    <w:rsid w:val="00C71F9A"/>
    <w:rsid w:val="00C741AC"/>
    <w:rsid w:val="00C960F9"/>
    <w:rsid w:val="00D658C7"/>
    <w:rsid w:val="00E41BD2"/>
    <w:rsid w:val="00E50279"/>
    <w:rsid w:val="00E96C24"/>
    <w:rsid w:val="00EA6743"/>
    <w:rsid w:val="00EF4322"/>
    <w:rsid w:val="00F05B16"/>
    <w:rsid w:val="00F63812"/>
    <w:rsid w:val="00F6755B"/>
    <w:rsid w:val="00FA1A3A"/>
    <w:rsid w:val="00FB06D9"/>
    <w:rsid w:val="03D8291E"/>
    <w:rsid w:val="04B32921"/>
    <w:rsid w:val="084542FA"/>
    <w:rsid w:val="0865499C"/>
    <w:rsid w:val="097F55EA"/>
    <w:rsid w:val="0C3456F1"/>
    <w:rsid w:val="0F4F4D46"/>
    <w:rsid w:val="0FCD39AC"/>
    <w:rsid w:val="0FE10DAC"/>
    <w:rsid w:val="121C30E5"/>
    <w:rsid w:val="145C697C"/>
    <w:rsid w:val="167F317C"/>
    <w:rsid w:val="179606CE"/>
    <w:rsid w:val="19526877"/>
    <w:rsid w:val="1D012A8E"/>
    <w:rsid w:val="1E257A28"/>
    <w:rsid w:val="1EBD9178"/>
    <w:rsid w:val="20E505F5"/>
    <w:rsid w:val="23F0560A"/>
    <w:rsid w:val="2499362A"/>
    <w:rsid w:val="24D665AE"/>
    <w:rsid w:val="24FA6740"/>
    <w:rsid w:val="28D93976"/>
    <w:rsid w:val="29D76495"/>
    <w:rsid w:val="2C561EEC"/>
    <w:rsid w:val="2CEFB339"/>
    <w:rsid w:val="2EFBBC48"/>
    <w:rsid w:val="2FA664DD"/>
    <w:rsid w:val="322C5A5F"/>
    <w:rsid w:val="330A6E2F"/>
    <w:rsid w:val="347D3586"/>
    <w:rsid w:val="35436125"/>
    <w:rsid w:val="36DD1A1E"/>
    <w:rsid w:val="387B2E2A"/>
    <w:rsid w:val="3B9D0C2F"/>
    <w:rsid w:val="3BBF1B45"/>
    <w:rsid w:val="3BD816D7"/>
    <w:rsid w:val="3D8810B1"/>
    <w:rsid w:val="3DFF8C80"/>
    <w:rsid w:val="3E5A656F"/>
    <w:rsid w:val="3EAD5BEF"/>
    <w:rsid w:val="3EDC1A31"/>
    <w:rsid w:val="3FAC72FC"/>
    <w:rsid w:val="3FDF6C0E"/>
    <w:rsid w:val="3FE95ABC"/>
    <w:rsid w:val="45967968"/>
    <w:rsid w:val="47422570"/>
    <w:rsid w:val="47600093"/>
    <w:rsid w:val="47D63AEE"/>
    <w:rsid w:val="48083C1B"/>
    <w:rsid w:val="4AE90145"/>
    <w:rsid w:val="4CD44AD7"/>
    <w:rsid w:val="4E323FA5"/>
    <w:rsid w:val="4F3D4D61"/>
    <w:rsid w:val="514019FA"/>
    <w:rsid w:val="524E125C"/>
    <w:rsid w:val="532A0445"/>
    <w:rsid w:val="5350578A"/>
    <w:rsid w:val="537D4134"/>
    <w:rsid w:val="540D674C"/>
    <w:rsid w:val="55284354"/>
    <w:rsid w:val="56EEFD7E"/>
    <w:rsid w:val="573963A5"/>
    <w:rsid w:val="57B74E1B"/>
    <w:rsid w:val="57C8766C"/>
    <w:rsid w:val="57FB5D50"/>
    <w:rsid w:val="591FD8F5"/>
    <w:rsid w:val="5AAC40BB"/>
    <w:rsid w:val="5C8F6A67"/>
    <w:rsid w:val="5DB42C29"/>
    <w:rsid w:val="5DD32290"/>
    <w:rsid w:val="5DF46E1D"/>
    <w:rsid w:val="5DFEE7D4"/>
    <w:rsid w:val="5F3743E3"/>
    <w:rsid w:val="5FBC2178"/>
    <w:rsid w:val="620A12CA"/>
    <w:rsid w:val="62B27141"/>
    <w:rsid w:val="63581130"/>
    <w:rsid w:val="639916D7"/>
    <w:rsid w:val="64DC3DB0"/>
    <w:rsid w:val="656E63DF"/>
    <w:rsid w:val="6838567B"/>
    <w:rsid w:val="699E02E9"/>
    <w:rsid w:val="6BDD334B"/>
    <w:rsid w:val="6D8F68C7"/>
    <w:rsid w:val="6E0B1F00"/>
    <w:rsid w:val="6E7D5030"/>
    <w:rsid w:val="6F7253A2"/>
    <w:rsid w:val="6F9B4CF3"/>
    <w:rsid w:val="6FAF0381"/>
    <w:rsid w:val="6FFF2EC6"/>
    <w:rsid w:val="70491FB3"/>
    <w:rsid w:val="72734A09"/>
    <w:rsid w:val="765B1A3C"/>
    <w:rsid w:val="788B637D"/>
    <w:rsid w:val="7A8FFAC6"/>
    <w:rsid w:val="7AFB59A5"/>
    <w:rsid w:val="7BDFCBFF"/>
    <w:rsid w:val="7CFECE28"/>
    <w:rsid w:val="7DB18C74"/>
    <w:rsid w:val="7DBAEB37"/>
    <w:rsid w:val="7DBF1A34"/>
    <w:rsid w:val="7DEB2C32"/>
    <w:rsid w:val="7DFF523D"/>
    <w:rsid w:val="7E5F3199"/>
    <w:rsid w:val="7EF35ADA"/>
    <w:rsid w:val="7F7B04A8"/>
    <w:rsid w:val="7F7EF37E"/>
    <w:rsid w:val="7FA5EC14"/>
    <w:rsid w:val="7FD7D6B2"/>
    <w:rsid w:val="7FF37BAA"/>
    <w:rsid w:val="9DBC5BFE"/>
    <w:rsid w:val="9E7F0C53"/>
    <w:rsid w:val="A7EB79A2"/>
    <w:rsid w:val="ABC2528A"/>
    <w:rsid w:val="ABFD3B40"/>
    <w:rsid w:val="AE8F304D"/>
    <w:rsid w:val="AFFF087D"/>
    <w:rsid w:val="B7D56515"/>
    <w:rsid w:val="B9EF54B5"/>
    <w:rsid w:val="BE3FDE16"/>
    <w:rsid w:val="BEFF65E4"/>
    <w:rsid w:val="D7371D03"/>
    <w:rsid w:val="D7FE4373"/>
    <w:rsid w:val="DE7F24A6"/>
    <w:rsid w:val="E7D7A915"/>
    <w:rsid w:val="ED661AE8"/>
    <w:rsid w:val="EDFF9236"/>
    <w:rsid w:val="EEFDCF1B"/>
    <w:rsid w:val="EF358C7A"/>
    <w:rsid w:val="EFBFEC5E"/>
    <w:rsid w:val="F2715785"/>
    <w:rsid w:val="F3D759E3"/>
    <w:rsid w:val="F7AF7DD2"/>
    <w:rsid w:val="FAFBA160"/>
    <w:rsid w:val="FBDBA10B"/>
    <w:rsid w:val="FBF77622"/>
    <w:rsid w:val="FD809B8B"/>
    <w:rsid w:val="FE7F89ED"/>
    <w:rsid w:val="FF6D7F3E"/>
    <w:rsid w:val="FFAD001C"/>
    <w:rsid w:val="FFBF67D3"/>
    <w:rsid w:val="FFD77033"/>
    <w:rsid w:val="FFDF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9" Type="http://schemas.openxmlformats.org/officeDocument/2006/relationships/font" Target="fonts/font9.odttf"/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0" Type="http://schemas.openxmlformats.org/officeDocument/2006/relationships/font" Target="fonts/font10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4580</Words>
  <Characters>5227</Characters>
  <Lines>55</Lines>
  <Paragraphs>15</Paragraphs>
  <TotalTime>10</TotalTime>
  <ScaleCrop>false</ScaleCrop>
  <LinksUpToDate>false</LinksUpToDate>
  <CharactersWithSpaces>5542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2023-03-11T04:15:00Z</dcterms:created>
  <dc:creator>fxhuser</dc:creator>
  <cp:lastModifiedBy>执牛耳</cp:lastModifiedBy>
  <cp:lastPrinted>2022-12-29T00:41:00Z</cp:lastPrinted>
  <dcterms:modified xsi:type="dcterms:W3CDTF">2023-04-27T06:29:29Z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5DCE1F5208D943A5847BCBEF79870D3A</vt:lpwstr>
  </property>
</Properties>
</file>