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40" w:lineRule="exact"/>
        <w:rPr>
          <w:rFonts w:ascii="仿宋_GB2312" w:hAnsi="宋体" w:eastAsia="仿宋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附件2</w:t>
      </w:r>
    </w:p>
    <w:p>
      <w:pPr>
        <w:jc w:val="center"/>
        <w:rPr>
          <w:rFonts w:ascii="宋体" w:hAnsi="宋体"/>
          <w:b/>
          <w:bCs/>
          <w:sz w:val="32"/>
          <w:szCs w:val="32"/>
        </w:rPr>
      </w:pPr>
    </w:p>
    <w:p>
      <w:pPr>
        <w:jc w:val="center"/>
      </w:pPr>
    </w:p>
    <w:p>
      <w:pPr>
        <w:jc w:val="center"/>
      </w:pPr>
      <w:r>
        <w:drawing>
          <wp:inline distT="0" distB="0" distL="0" distR="0">
            <wp:extent cx="1483995" cy="1428750"/>
            <wp:effectExtent l="0" t="0" r="190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pPr>
        <w:spacing w:line="700" w:lineRule="exact"/>
        <w:jc w:val="center"/>
        <w:rPr>
          <w:rFonts w:ascii="方正小标宋_GBK" w:eastAsia="方正小标宋_GBK"/>
          <w:b/>
          <w:bCs/>
          <w:sz w:val="44"/>
          <w:szCs w:val="44"/>
        </w:rPr>
      </w:pPr>
      <w:r>
        <w:rPr>
          <w:rFonts w:hint="eastAsia" w:ascii="方正小标宋_GBK" w:eastAsia="方正小标宋_GBK"/>
          <w:b/>
          <w:bCs/>
          <w:sz w:val="44"/>
          <w:szCs w:val="44"/>
        </w:rPr>
        <w:t>第十届“全国杰出青年法学家”</w:t>
      </w:r>
    </w:p>
    <w:p>
      <w:pPr>
        <w:spacing w:line="700" w:lineRule="exact"/>
        <w:jc w:val="center"/>
        <w:rPr>
          <w:rFonts w:ascii="方正小标宋_GBK" w:eastAsia="方正小标宋_GBK"/>
          <w:b/>
          <w:bCs/>
          <w:sz w:val="44"/>
          <w:szCs w:val="44"/>
        </w:rPr>
      </w:pPr>
      <w:r>
        <w:rPr>
          <w:rFonts w:hint="eastAsia" w:ascii="方正小标宋_GBK" w:eastAsia="方正小标宋_GBK"/>
          <w:b/>
          <w:bCs/>
          <w:sz w:val="44"/>
          <w:szCs w:val="44"/>
        </w:rPr>
        <w:t>推荐表</w:t>
      </w:r>
    </w:p>
    <w:p/>
    <w:p/>
    <w:p/>
    <w:p/>
    <w:p/>
    <w:p/>
    <w:p>
      <w:pPr>
        <w:snapToGrid w:val="0"/>
        <w:rPr>
          <w:sz w:val="28"/>
          <w:szCs w:val="28"/>
        </w:rPr>
      </w:pPr>
    </w:p>
    <w:p>
      <w:pPr>
        <w:snapToGrid w:val="0"/>
        <w:rPr>
          <w:sz w:val="28"/>
          <w:szCs w:val="28"/>
        </w:rPr>
      </w:pPr>
    </w:p>
    <w:p>
      <w:pPr>
        <w:snapToGrid w:val="0"/>
        <w:rPr>
          <w:sz w:val="28"/>
          <w:szCs w:val="28"/>
        </w:rPr>
      </w:pPr>
    </w:p>
    <w:p>
      <w:pPr>
        <w:snapToGrid w:val="0"/>
        <w:ind w:firstLine="643" w:firstLineChars="200"/>
        <w:rPr>
          <w:rFonts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姓    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 吴光荣              </w:t>
      </w:r>
    </w:p>
    <w:p>
      <w:pPr>
        <w:snapToGrid w:val="0"/>
        <w:rPr>
          <w:rFonts w:eastAsia="仿宋_GB2312"/>
          <w:b/>
          <w:bCs/>
          <w:sz w:val="28"/>
          <w:szCs w:val="28"/>
          <w:u w:val="single"/>
        </w:rPr>
      </w:pPr>
    </w:p>
    <w:p>
      <w:pPr>
        <w:snapToGrid w:val="0"/>
        <w:ind w:firstLine="643" w:firstLineChars="200"/>
        <w:rPr>
          <w:rFonts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工作单位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国家法官学院          </w:t>
      </w:r>
    </w:p>
    <w:p>
      <w:pPr>
        <w:snapToGrid w:val="0"/>
        <w:rPr>
          <w:rFonts w:eastAsia="仿宋_GB2312"/>
          <w:b/>
          <w:bCs/>
          <w:sz w:val="28"/>
          <w:szCs w:val="28"/>
          <w:u w:val="single"/>
        </w:rPr>
      </w:pPr>
    </w:p>
    <w:p>
      <w:pPr>
        <w:snapToGrid w:val="0"/>
        <w:ind w:firstLine="643" w:firstLineChars="200"/>
        <w:rPr>
          <w:rFonts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推荐单位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</w:t>
      </w:r>
      <w:r>
        <w:rPr>
          <w:rFonts w:hint="eastAsia" w:eastAsia="仿宋_GB2312"/>
          <w:b/>
          <w:bCs/>
          <w:sz w:val="32"/>
          <w:szCs w:val="32"/>
          <w:u w:val="single"/>
          <w:lang w:val="en-US" w:eastAsia="zh-Hans"/>
        </w:rPr>
        <w:t>中国法学会审判理论研究会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</w:t>
      </w: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ind w:firstLine="3360" w:firstLineChars="1050"/>
        <w:rPr>
          <w:rFonts w:ascii="宋体" w:hAnsi="Arial Narrow"/>
          <w:sz w:val="32"/>
          <w:szCs w:val="32"/>
        </w:rPr>
      </w:pPr>
      <w:r>
        <w:rPr>
          <w:rFonts w:hint="eastAsia" w:ascii="宋体" w:hAnsi="Arial Narrow"/>
          <w:sz w:val="32"/>
          <w:szCs w:val="32"/>
        </w:rPr>
        <w:t>中国法学会</w:t>
      </w:r>
    </w:p>
    <w:p>
      <w:pPr>
        <w:snapToGrid w:val="0"/>
        <w:jc w:val="center"/>
        <w:rPr>
          <w:rFonts w:eastAsia="仿宋_GB2312"/>
          <w:b/>
          <w:bCs/>
          <w:szCs w:val="21"/>
          <w:u w:val="single"/>
        </w:rPr>
      </w:pPr>
      <w:r>
        <w:rPr>
          <w:rFonts w:hint="eastAsia" w:ascii="宋体" w:hAnsi="Arial Narrow"/>
          <w:sz w:val="32"/>
          <w:szCs w:val="32"/>
        </w:rPr>
        <w:t>202</w:t>
      </w:r>
      <w:r>
        <w:rPr>
          <w:rFonts w:ascii="宋体" w:hAnsi="Arial Narrow"/>
          <w:sz w:val="32"/>
          <w:szCs w:val="32"/>
        </w:rPr>
        <w:t>2</w:t>
      </w:r>
      <w:r>
        <w:rPr>
          <w:rFonts w:hint="eastAsia" w:ascii="宋体" w:hAnsi="Arial Narrow"/>
          <w:sz w:val="32"/>
          <w:szCs w:val="32"/>
        </w:rPr>
        <w:t>年</w:t>
      </w:r>
      <w:r>
        <w:rPr>
          <w:rFonts w:ascii="宋体" w:hAnsi="Arial Narrow"/>
          <w:sz w:val="32"/>
          <w:szCs w:val="32"/>
        </w:rPr>
        <w:t>12</w:t>
      </w:r>
      <w:r>
        <w:rPr>
          <w:rFonts w:hint="eastAsia" w:ascii="宋体" w:hAnsi="Arial Narrow"/>
          <w:sz w:val="32"/>
          <w:szCs w:val="32"/>
        </w:rPr>
        <w:t>月印制</w:t>
      </w:r>
    </w:p>
    <w:p>
      <w:pPr>
        <w:snapToGrid w:val="0"/>
        <w:rPr>
          <w:rFonts w:eastAsia="仿宋_GB2312"/>
          <w:szCs w:val="21"/>
        </w:rPr>
      </w:pPr>
    </w:p>
    <w:p>
      <w:pPr>
        <w:spacing w:line="440" w:lineRule="exact"/>
        <w:jc w:val="center"/>
        <w:rPr>
          <w:rFonts w:ascii="Arial Narrow" w:hAnsi="Arial Narrow"/>
          <w:b/>
          <w:sz w:val="30"/>
        </w:rPr>
      </w:pPr>
    </w:p>
    <w:p>
      <w:pPr>
        <w:spacing w:line="44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填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表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说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明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numPr>
          <w:ilvl w:val="0"/>
          <w:numId w:val="1"/>
        </w:num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表一为推荐单位填写或指导推荐候选人填写，表二为推荐候选人工作单位上级党委（党组）填写并盖章，表三为推荐候选人工作单位上级纪检监察部门填写并盖章，表四为推荐单位填写并盖章。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例如，推荐候选人为某大学法学院教授的，表二应由该大学党委填写并盖章，表三应由该大学纪委填写并盖章，表四应由该大学法学院填写并盖章。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二、推荐单位需填写推荐评选委员会投票情况、推荐意见（每人500字以内）。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三、请用计算机填写，可根据实际需要分栏，但勿随意变动格式及字体字号。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四、请各推荐单位于2023年3月20日之前，将</w:t>
      </w:r>
      <w:r>
        <w:fldChar w:fldCharType="begin"/>
      </w:r>
      <w:r>
        <w:instrText xml:space="preserve"> HYPERLINK "mailto:本表电子版发至邮箱qnfxj2016@126.com" </w:instrText>
      </w:r>
      <w:r>
        <w:fldChar w:fldCharType="separate"/>
      </w:r>
      <w:r>
        <w:rPr>
          <w:rFonts w:hint="eastAsia" w:ascii="仿宋" w:hAnsi="仿宋" w:eastAsia="仿宋"/>
          <w:sz w:val="28"/>
          <w:szCs w:val="28"/>
        </w:rPr>
        <w:t>本表电子版发至指定邮箱</w:t>
      </w:r>
      <w:r>
        <w:rPr>
          <w:rFonts w:hint="eastAsia" w:ascii="仿宋" w:hAnsi="仿宋" w:eastAsia="仿宋"/>
          <w:sz w:val="28"/>
          <w:szCs w:val="28"/>
        </w:rPr>
        <w:fldChar w:fldCharType="end"/>
      </w:r>
      <w:r>
        <w:rPr>
          <w:rFonts w:hint="eastAsia" w:ascii="仿宋" w:hAnsi="仿宋" w:eastAsia="仿宋"/>
          <w:sz w:val="28"/>
          <w:szCs w:val="28"/>
        </w:rPr>
        <w:t>。纸质版以A4纸打印一式四份，连同推荐评选情况报告、推荐候选人身份证复印件、推荐候选人代表性学术专著1-2部（独著）、学术论文3-5篇（独著或第一作者）、重要荣誉证书或证明复印件各一式一份，寄至指定地址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联 系 人：魏丽莎 于晓航  010-66</w:t>
      </w:r>
      <w:r>
        <w:rPr>
          <w:rFonts w:ascii="仿宋" w:hAnsi="仿宋" w:eastAsia="仿宋"/>
          <w:color w:val="000000"/>
          <w:sz w:val="28"/>
          <w:szCs w:val="28"/>
        </w:rPr>
        <w:t>1</w:t>
      </w:r>
      <w:r>
        <w:rPr>
          <w:rFonts w:hint="eastAsia" w:ascii="仿宋" w:hAnsi="仿宋" w:eastAsia="仿宋"/>
          <w:color w:val="000000"/>
          <w:sz w:val="28"/>
          <w:szCs w:val="28"/>
        </w:rPr>
        <w:t>23109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pacing w:val="-6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邮寄地址：</w:t>
      </w:r>
      <w:r>
        <w:rPr>
          <w:rFonts w:hint="eastAsia" w:ascii="仿宋" w:hAnsi="仿宋" w:eastAsia="仿宋"/>
          <w:color w:val="000000"/>
          <w:spacing w:val="-6"/>
          <w:sz w:val="28"/>
          <w:szCs w:val="28"/>
        </w:rPr>
        <w:t>北京市海淀区皂君庙4号中国法学会研究部1334室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邮    编：100081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电子邮箱：qnfxj2022@163.com</w:t>
      </w:r>
    </w:p>
    <w:p>
      <w:pPr>
        <w:rPr>
          <w:rFonts w:ascii="宋体" w:hAnsi="宋体"/>
          <w:b/>
          <w:bCs/>
          <w:color w:val="000000"/>
          <w:sz w:val="24"/>
        </w:rPr>
      </w:pPr>
    </w:p>
    <w:tbl>
      <w:tblPr>
        <w:tblStyle w:val="6"/>
        <w:tblpPr w:leftFromText="180" w:rightFromText="180" w:vertAnchor="text" w:horzAnchor="page" w:tblpX="1732" w:tblpY="-227"/>
        <w:tblOverlap w:val="never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104"/>
        <w:gridCol w:w="1276"/>
        <w:gridCol w:w="2016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9000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b/>
                <w:color w:val="000000"/>
                <w:sz w:val="30"/>
                <w:szCs w:val="30"/>
              </w:rPr>
              <w:t>表一：推荐候选人情况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6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姓    名</w:t>
            </w:r>
          </w:p>
        </w:tc>
        <w:tc>
          <w:tcPr>
            <w:tcW w:w="2104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吴光荣</w:t>
            </w:r>
          </w:p>
        </w:tc>
        <w:tc>
          <w:tcPr>
            <w:tcW w:w="127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性    别</w:t>
            </w:r>
          </w:p>
        </w:tc>
        <w:tc>
          <w:tcPr>
            <w:tcW w:w="201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男</w:t>
            </w:r>
          </w:p>
        </w:tc>
        <w:tc>
          <w:tcPr>
            <w:tcW w:w="1984" w:type="dxa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1905</wp:posOffset>
                  </wp:positionV>
                  <wp:extent cx="1097280" cy="1704975"/>
                  <wp:effectExtent l="19050" t="0" r="7620" b="0"/>
                  <wp:wrapSquare wrapText="bothSides"/>
                  <wp:docPr id="4" name="图片 1" descr="D:\桌面材料2022\2022年文档\正式在编工作人员照片\民商事审判教研部A\IMG_A045 吴光荣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" descr="D:\桌面材料2022\2022年文档\正式在编工作人员照片\民商事审判教研部A\IMG_A045 吴光荣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0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出生日期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1977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年</w:t>
            </w:r>
            <w:r>
              <w:rPr>
                <w:rFonts w:ascii="宋体" w:hAnsi="宋体"/>
                <w:b/>
                <w:color w:val="000000"/>
                <w:sz w:val="24"/>
              </w:rPr>
              <w:t>10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月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民    族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汉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620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政治面貌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民革党员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学    历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博士研究生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620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技术职称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教授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行政职务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无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工作单位</w:t>
            </w:r>
          </w:p>
        </w:tc>
        <w:tc>
          <w:tcPr>
            <w:tcW w:w="5396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国家法官学院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通讯地址</w:t>
            </w:r>
          </w:p>
        </w:tc>
        <w:tc>
          <w:tcPr>
            <w:tcW w:w="7380" w:type="dxa"/>
            <w:gridSpan w:val="4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北京市丰台区南四环西路</w:t>
            </w:r>
            <w:r>
              <w:rPr>
                <w:rFonts w:ascii="宋体" w:hAnsi="宋体"/>
                <w:b/>
                <w:color w:val="000000"/>
                <w:sz w:val="24"/>
              </w:rPr>
              <w:t>111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01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50" w:line="260" w:lineRule="exact"/>
              <w:jc w:val="center"/>
              <w:textAlignment w:val="auto"/>
              <w:rPr>
                <w:rFonts w:ascii="宋体" w:hAnsi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color w:val="000000"/>
                <w:sz w:val="30"/>
                <w:szCs w:val="30"/>
              </w:rPr>
              <w:t>重要学术成果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（包括专著和论文，只列书名和篇名即可。论文仅限于发表在核心期刊或全国性重要报纸上的。请注明署名方式、发表或出版时间、刊物或出版社、字数。代表性著作和论文请注明中国知网统计的被引用数。）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textAlignment w:val="auto"/>
              <w:rPr>
                <w:rFonts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专著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textAlignment w:val="auto"/>
              <w:rPr>
                <w:rFonts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1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.</w:t>
            </w: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《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担保法精讲</w:t>
            </w: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》（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独著</w:t>
            </w: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），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中国民主法制出版社</w:t>
            </w: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2023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年版</w:t>
            </w: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，50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万字</w:t>
            </w: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textAlignment w:val="auto"/>
              <w:rPr>
                <w:rFonts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2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.</w:t>
            </w: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《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物权诉讼</w:t>
            </w: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：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原理与实务</w:t>
            </w: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》（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独著</w:t>
            </w: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），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人民法院出版社</w:t>
            </w: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2009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年版</w:t>
            </w: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，60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万字</w:t>
            </w: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textAlignment w:val="auto"/>
              <w:rPr>
                <w:rFonts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论文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textAlignment w:val="auto"/>
              <w:rPr>
                <w:rFonts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1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.《征收制度在我国的异化与回归》</w:t>
            </w: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（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独著</w:t>
            </w: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）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，载《法学研究》2011年第3期</w:t>
            </w: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（2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.</w:t>
            </w: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5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万字</w:t>
            </w: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，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被引</w:t>
            </w: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50）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textAlignment w:val="auto"/>
              <w:rPr>
                <w:rFonts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2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.《行政审批对合同效力的影响：理论与实践》</w:t>
            </w: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（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独著</w:t>
            </w: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）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，载《法学家》2013年第1期</w:t>
            </w: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（2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.</w:t>
            </w: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5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万字</w:t>
            </w: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，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被引</w:t>
            </w: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151）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textAlignment w:val="auto"/>
              <w:rPr>
                <w:rFonts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3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.《再谈无权处分行为的效力——兼论法释[2012]8号第3条的理论基础》</w:t>
            </w: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（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独著</w:t>
            </w: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）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，载《法学家》2015年第3期</w:t>
            </w: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（2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.</w:t>
            </w: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5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万字</w:t>
            </w: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，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被引</w:t>
            </w: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28）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textAlignment w:val="auto"/>
              <w:rPr>
                <w:rFonts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4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.《论无权处分的适用范围》</w:t>
            </w: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（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独著</w:t>
            </w: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）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，载《中外法学》2005年第3期</w:t>
            </w: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（2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万字</w:t>
            </w: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，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被引</w:t>
            </w: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32）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textAlignment w:val="auto"/>
              <w:rPr>
                <w:rFonts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5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.《论不动产登记簿的形式拘束力》</w:t>
            </w: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（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独著</w:t>
            </w: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）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，载《清华法学》2009年第5期</w:t>
            </w: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（2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万字</w:t>
            </w: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，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被引</w:t>
            </w: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8）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textAlignment w:val="auto"/>
              <w:rPr>
                <w:rFonts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6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.《违反让与禁止的法律后果——兼论&lt;房地产管理法&gt;第38条与&lt;担保法&gt;第37条的规范性质》</w:t>
            </w: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（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独著</w:t>
            </w: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）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，载《法律科学》2014年第5期</w:t>
            </w: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（2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.</w:t>
            </w: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5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万字</w:t>
            </w: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，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被引</w:t>
            </w: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24）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textAlignment w:val="auto"/>
              <w:rPr>
                <w:rFonts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7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.《论善意取得制度的适用范围——兼评&lt;中华人民共和国物权法(草案)&gt;相关规定》</w:t>
            </w: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（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独著</w:t>
            </w: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）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，载《法律科学》2006年第4期</w:t>
            </w: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（2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.</w:t>
            </w: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5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万字</w:t>
            </w: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，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被引</w:t>
            </w: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33）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textAlignment w:val="auto"/>
              <w:rPr>
                <w:rFonts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8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.《论未经抵押权人同意之抵押物转让的效力》（与刘贵祥合作，第二作者），载《比较法研究》2013年第5期（该文被人大复印资料全文转载</w:t>
            </w: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，2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.</w:t>
            </w: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5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万字</w:t>
            </w: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，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被引</w:t>
            </w: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118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）。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textAlignment w:val="auto"/>
              <w:rPr>
                <w:rFonts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9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.《论行政争议与民事争议相互交织的解决路径——评&lt;行政诉讼法修正案（草案）&gt;第63条第1款》</w:t>
            </w: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（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独著</w:t>
            </w: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）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，载《政治与法律》2014年第5期</w:t>
            </w: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（2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万字</w:t>
            </w: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，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被引</w:t>
            </w: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27）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textAlignment w:val="auto"/>
              <w:rPr>
                <w:rFonts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10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.《中国法语境下的合同效力：理论与实践》（与崔建远合作，第二作者），载《法律适用》2012年第7期</w:t>
            </w: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（2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万字</w:t>
            </w: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，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被引</w:t>
            </w: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153）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textAlignment w:val="auto"/>
              <w:rPr>
                <w:rFonts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11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.《实践感悟：再谈作为科学的法学》</w:t>
            </w: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（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独著</w:t>
            </w: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）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，载《法律适用》2016年第7期（该文被人大复印报刊资料全文转载</w:t>
            </w: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，2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万字）。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textAlignment w:val="auto"/>
              <w:rPr>
                <w:rFonts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12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.《留德随想：也谈作为科学的法学》</w:t>
            </w: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（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独著</w:t>
            </w: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）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，载《法律适用》2009年第7期</w:t>
            </w: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（2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万字</w:t>
            </w: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）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textAlignment w:val="auto"/>
              <w:rPr>
                <w:rFonts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13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.《不动产权属确认的基本原则》</w:t>
            </w: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（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独著</w:t>
            </w: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）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，载《人民司法》2009年第19期</w:t>
            </w: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（1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.</w:t>
            </w: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5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万字</w:t>
            </w: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）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textAlignment w:val="auto"/>
              <w:rPr>
                <w:rFonts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14</w:t>
            </w: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.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《更正登记的实体价值与程序意义》</w:t>
            </w: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（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独著</w:t>
            </w: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）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，载《法律适用》2017年第21期</w:t>
            </w: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（2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万字</w:t>
            </w: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）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textAlignment w:val="auto"/>
              <w:rPr>
                <w:rFonts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15</w:t>
            </w: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.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《也谈依法律文书发生的物权变动——兼评&lt;物权法司法解释一&gt;第7条》</w:t>
            </w: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（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独著</w:t>
            </w: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）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，载《法律适用》2016年第5期</w:t>
            </w: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（2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万字</w:t>
            </w: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）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textAlignment w:val="auto"/>
              <w:rPr>
                <w:rFonts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16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.《民法典对担保制度新发展及其适用》</w:t>
            </w: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（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独著</w:t>
            </w: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）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，载《法治研究》2021年第4期</w:t>
            </w: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（2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.</w:t>
            </w: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5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万字</w:t>
            </w: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）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textAlignment w:val="auto"/>
              <w:rPr>
                <w:rFonts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17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.《共同担保人之间的追偿问题》</w:t>
            </w: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（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独著</w:t>
            </w: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）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，载《法律适用》2021年第3期</w:t>
            </w: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（2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.</w:t>
            </w: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5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万字</w:t>
            </w: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）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textAlignment w:val="auto"/>
              <w:rPr>
                <w:rFonts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18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.《与破产法有关的几个担保问题》</w:t>
            </w: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（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与郁林合作</w:t>
            </w: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，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为第二作者</w:t>
            </w: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）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，载《法律适用》2021年第9期</w:t>
            </w: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（2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.</w:t>
            </w: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5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万字</w:t>
            </w: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）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textAlignment w:val="auto"/>
              <w:rPr>
                <w:rFonts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19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.《关于合同效力的几个问题》</w:t>
            </w: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（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与刘贵祥合作</w:t>
            </w: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，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为第二作者</w:t>
            </w: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）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，载《中国应用法学》2021年第6期</w:t>
            </w: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（2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.</w:t>
            </w: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5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万字</w:t>
            </w: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）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textAlignment w:val="auto"/>
              <w:rPr>
                <w:rFonts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20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.《&lt;民法典&gt;背景下破产财产的范围及其认定》</w:t>
            </w: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（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独著</w:t>
            </w: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）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，载《法律适用》2022年第1期</w:t>
            </w: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（2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.</w:t>
            </w: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5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万字</w:t>
            </w: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）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textAlignment w:val="auto"/>
              <w:rPr>
                <w:rFonts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21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.</w:t>
            </w: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《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也谈借名购房的物权归属与合同效力</w:t>
            </w: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》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(独著)</w:t>
            </w: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，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载</w:t>
            </w: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《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法治研究</w:t>
            </w: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》2022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年第</w:t>
            </w: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6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期</w:t>
            </w: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（2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.</w:t>
            </w: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5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万字</w:t>
            </w: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）。</w:t>
            </w:r>
          </w:p>
          <w:p>
            <w:pPr>
              <w:tabs>
                <w:tab w:val="left" w:pos="4185"/>
              </w:tabs>
              <w:snapToGrid w:val="0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73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tabs>
                <w:tab w:val="left" w:pos="4185"/>
              </w:tabs>
              <w:snapToGrid w:val="0"/>
              <w:spacing w:beforeLines="50"/>
              <w:jc w:val="center"/>
              <w:rPr>
                <w:rFonts w:cs="Arial"/>
                <w:b/>
                <w:kern w:val="0"/>
                <w:sz w:val="30"/>
                <w:szCs w:val="30"/>
              </w:rPr>
            </w:pPr>
            <w:r>
              <w:rPr>
                <w:rFonts w:cs="Arial"/>
                <w:b/>
                <w:kern w:val="0"/>
                <w:sz w:val="30"/>
                <w:szCs w:val="30"/>
              </w:rPr>
              <w:t>获得奖项</w:t>
            </w:r>
            <w:r>
              <w:rPr>
                <w:rFonts w:hint="eastAsia" w:cs="Arial"/>
                <w:b/>
                <w:kern w:val="0"/>
                <w:sz w:val="30"/>
                <w:szCs w:val="30"/>
              </w:rPr>
              <w:t>和表彰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" w:hAnsi="楷体" w:eastAsia="楷体" w:cs="Arial"/>
                <w:b/>
                <w:kern w:val="0"/>
                <w:sz w:val="24"/>
              </w:rPr>
            </w:pPr>
            <w:r>
              <w:rPr>
                <w:rFonts w:hint="eastAsia" w:ascii="楷体" w:hAnsi="楷体" w:eastAsia="楷体" w:cs="Arial"/>
                <w:b/>
                <w:kern w:val="0"/>
                <w:sz w:val="24"/>
              </w:rPr>
              <w:t>（请注明获得时间及等级）</w:t>
            </w:r>
          </w:p>
          <w:p>
            <w:pPr>
              <w:tabs>
                <w:tab w:val="left" w:pos="4185"/>
              </w:tabs>
              <w:snapToGrid w:val="0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ascii="楷体" w:hAnsi="楷体" w:eastAsia="楷体" w:cs="Arial"/>
                <w:b/>
                <w:kern w:val="0"/>
                <w:sz w:val="24"/>
              </w:rPr>
            </w:pPr>
            <w:r>
              <w:rPr>
                <w:rFonts w:hint="eastAsia" w:ascii="楷体" w:hAnsi="楷体" w:eastAsia="楷体" w:cs="Arial"/>
                <w:b/>
                <w:kern w:val="0"/>
                <w:sz w:val="24"/>
              </w:rPr>
              <w:t>一</w:t>
            </w:r>
            <w:r>
              <w:rPr>
                <w:rFonts w:ascii="楷体" w:hAnsi="楷体" w:eastAsia="楷体" w:cs="Arial"/>
                <w:b/>
                <w:kern w:val="0"/>
                <w:sz w:val="24"/>
              </w:rPr>
              <w:t>、</w:t>
            </w:r>
            <w:r>
              <w:rPr>
                <w:rFonts w:hint="eastAsia" w:ascii="楷体" w:hAnsi="楷体" w:eastAsia="楷体" w:cs="Arial"/>
                <w:b/>
                <w:kern w:val="0"/>
                <w:sz w:val="24"/>
              </w:rPr>
              <w:t>所获奖项</w:t>
            </w:r>
          </w:p>
          <w:p>
            <w:pPr>
              <w:tabs>
                <w:tab w:val="left" w:pos="4185"/>
              </w:tabs>
              <w:snapToGrid w:val="0"/>
              <w:rPr>
                <w:rFonts w:ascii="楷体" w:hAnsi="楷体" w:eastAsia="楷体" w:cs="Arial"/>
                <w:b/>
                <w:kern w:val="0"/>
                <w:sz w:val="24"/>
              </w:rPr>
            </w:pPr>
            <w:r>
              <w:rPr>
                <w:rFonts w:ascii="楷体" w:hAnsi="楷体" w:eastAsia="楷体" w:cs="Arial"/>
                <w:b/>
                <w:kern w:val="0"/>
                <w:sz w:val="24"/>
              </w:rPr>
              <w:t>1</w:t>
            </w:r>
            <w:r>
              <w:rPr>
                <w:rFonts w:hint="eastAsia" w:ascii="楷体" w:hAnsi="楷体" w:eastAsia="楷体" w:cs="Arial"/>
                <w:b/>
                <w:kern w:val="0"/>
                <w:sz w:val="24"/>
              </w:rPr>
              <w:t>.《不动产登记与政府职能转变》一文获中国法学会主办的第九届中国法学家论坛征文评比一等奖（</w:t>
            </w:r>
            <w:r>
              <w:rPr>
                <w:rFonts w:ascii="楷体" w:hAnsi="楷体" w:eastAsia="楷体" w:cs="Arial"/>
                <w:b/>
                <w:kern w:val="0"/>
                <w:sz w:val="24"/>
              </w:rPr>
              <w:t>2014</w:t>
            </w:r>
            <w:r>
              <w:rPr>
                <w:rFonts w:hint="eastAsia" w:ascii="楷体" w:hAnsi="楷体" w:eastAsia="楷体" w:cs="Arial"/>
                <w:b/>
                <w:kern w:val="0"/>
                <w:sz w:val="24"/>
              </w:rPr>
              <w:t>年</w:t>
            </w:r>
            <w:r>
              <w:rPr>
                <w:rFonts w:ascii="楷体" w:hAnsi="楷体" w:eastAsia="楷体" w:cs="Arial"/>
                <w:b/>
                <w:kern w:val="0"/>
                <w:sz w:val="24"/>
              </w:rPr>
              <w:t>；</w:t>
            </w:r>
            <w:r>
              <w:rPr>
                <w:rFonts w:hint="eastAsia" w:ascii="楷体" w:hAnsi="楷体" w:eastAsia="楷体" w:cs="Arial"/>
                <w:b/>
                <w:kern w:val="0"/>
                <w:sz w:val="24"/>
              </w:rPr>
              <w:t>省部级以上）。</w:t>
            </w:r>
          </w:p>
          <w:p>
            <w:pPr>
              <w:tabs>
                <w:tab w:val="left" w:pos="4185"/>
              </w:tabs>
              <w:snapToGrid w:val="0"/>
              <w:rPr>
                <w:rFonts w:ascii="楷体" w:hAnsi="楷体" w:eastAsia="楷体" w:cs="Arial"/>
                <w:b/>
                <w:kern w:val="0"/>
                <w:sz w:val="24"/>
              </w:rPr>
            </w:pPr>
            <w:r>
              <w:rPr>
                <w:rFonts w:ascii="楷体" w:hAnsi="楷体" w:eastAsia="楷体" w:cs="Arial"/>
                <w:b/>
                <w:kern w:val="0"/>
                <w:sz w:val="24"/>
              </w:rPr>
              <w:t>2</w:t>
            </w:r>
            <w:r>
              <w:rPr>
                <w:rFonts w:hint="eastAsia" w:ascii="楷体" w:hAnsi="楷体" w:eastAsia="楷体" w:cs="Arial"/>
                <w:b/>
                <w:kern w:val="0"/>
                <w:sz w:val="24"/>
              </w:rPr>
              <w:t>.与复旦大学章武生教授等合作完成“个案全过程教学法及其在法学教育中的应用”</w:t>
            </w:r>
            <w:r>
              <w:rPr>
                <w:rFonts w:ascii="楷体" w:hAnsi="楷体" w:eastAsia="楷体" w:cs="Arial"/>
                <w:b/>
                <w:kern w:val="0"/>
                <w:sz w:val="24"/>
              </w:rPr>
              <w:t>，</w:t>
            </w:r>
            <w:r>
              <w:rPr>
                <w:rFonts w:hint="eastAsia" w:ascii="楷体" w:hAnsi="楷体" w:eastAsia="楷体" w:cs="Arial"/>
                <w:b/>
                <w:kern w:val="0"/>
                <w:sz w:val="24"/>
              </w:rPr>
              <w:t>获上海市教学成果一等奖（</w:t>
            </w:r>
            <w:r>
              <w:rPr>
                <w:rFonts w:ascii="楷体" w:hAnsi="楷体" w:eastAsia="楷体" w:cs="Arial"/>
                <w:b/>
                <w:kern w:val="0"/>
                <w:sz w:val="24"/>
              </w:rPr>
              <w:t>2013</w:t>
            </w:r>
            <w:r>
              <w:rPr>
                <w:rFonts w:hint="eastAsia" w:ascii="楷体" w:hAnsi="楷体" w:eastAsia="楷体" w:cs="Arial"/>
                <w:b/>
                <w:kern w:val="0"/>
                <w:sz w:val="24"/>
              </w:rPr>
              <w:t>年</w:t>
            </w:r>
            <w:r>
              <w:rPr>
                <w:rFonts w:ascii="楷体" w:hAnsi="楷体" w:eastAsia="楷体" w:cs="Arial"/>
                <w:b/>
                <w:kern w:val="0"/>
                <w:sz w:val="24"/>
              </w:rPr>
              <w:t>；</w:t>
            </w:r>
            <w:r>
              <w:rPr>
                <w:rFonts w:hint="eastAsia" w:ascii="楷体" w:hAnsi="楷体" w:eastAsia="楷体" w:cs="Arial"/>
                <w:b/>
                <w:kern w:val="0"/>
                <w:sz w:val="24"/>
              </w:rPr>
              <w:t>省部级以上）。</w:t>
            </w:r>
          </w:p>
          <w:p>
            <w:pPr>
              <w:tabs>
                <w:tab w:val="left" w:pos="4185"/>
              </w:tabs>
              <w:snapToGrid w:val="0"/>
              <w:rPr>
                <w:rFonts w:ascii="楷体" w:hAnsi="楷体" w:eastAsia="楷体" w:cs="Arial"/>
                <w:b/>
                <w:kern w:val="0"/>
                <w:sz w:val="24"/>
              </w:rPr>
            </w:pPr>
            <w:r>
              <w:rPr>
                <w:rFonts w:ascii="楷体" w:hAnsi="楷体" w:eastAsia="楷体" w:cs="Arial"/>
                <w:b/>
                <w:kern w:val="0"/>
                <w:sz w:val="24"/>
              </w:rPr>
              <w:t>3</w:t>
            </w:r>
            <w:r>
              <w:rPr>
                <w:rFonts w:hint="eastAsia" w:ascii="楷体" w:hAnsi="楷体" w:eastAsia="楷体" w:cs="Arial"/>
                <w:b/>
                <w:kern w:val="0"/>
                <w:sz w:val="24"/>
              </w:rPr>
              <w:t>.《论善意取得制度的适用范围》一文获全国法院学术讨论会论文评比二等奖（</w:t>
            </w:r>
            <w:r>
              <w:rPr>
                <w:rFonts w:ascii="楷体" w:hAnsi="楷体" w:eastAsia="楷体" w:cs="Arial"/>
                <w:b/>
                <w:kern w:val="0"/>
                <w:sz w:val="24"/>
              </w:rPr>
              <w:t>200</w:t>
            </w:r>
            <w:r>
              <w:rPr>
                <w:rFonts w:hint="eastAsia" w:ascii="楷体" w:hAnsi="楷体" w:eastAsia="楷体" w:cs="Arial"/>
                <w:b/>
                <w:kern w:val="0"/>
                <w:sz w:val="24"/>
              </w:rPr>
              <w:t>5年</w:t>
            </w:r>
            <w:r>
              <w:rPr>
                <w:rFonts w:ascii="楷体" w:hAnsi="楷体" w:eastAsia="楷体" w:cs="Arial"/>
                <w:b/>
                <w:kern w:val="0"/>
                <w:sz w:val="24"/>
              </w:rPr>
              <w:t>；</w:t>
            </w:r>
            <w:r>
              <w:rPr>
                <w:rFonts w:hint="eastAsia" w:ascii="楷体" w:hAnsi="楷体" w:eastAsia="楷体" w:cs="Arial"/>
                <w:b/>
                <w:kern w:val="0"/>
                <w:sz w:val="24"/>
              </w:rPr>
              <w:t>省部级以上）</w:t>
            </w:r>
          </w:p>
          <w:p>
            <w:pPr>
              <w:tabs>
                <w:tab w:val="left" w:pos="4185"/>
              </w:tabs>
              <w:snapToGrid w:val="0"/>
              <w:rPr>
                <w:rFonts w:ascii="楷体" w:hAnsi="楷体" w:eastAsia="楷体" w:cs="Arial"/>
                <w:b/>
                <w:kern w:val="0"/>
                <w:sz w:val="24"/>
              </w:rPr>
            </w:pPr>
            <w:r>
              <w:rPr>
                <w:rFonts w:ascii="楷体" w:hAnsi="楷体" w:eastAsia="楷体" w:cs="Arial"/>
                <w:b/>
                <w:kern w:val="0"/>
                <w:sz w:val="24"/>
              </w:rPr>
              <w:t>4</w:t>
            </w:r>
            <w:r>
              <w:rPr>
                <w:rFonts w:hint="eastAsia" w:ascii="楷体" w:hAnsi="楷体" w:eastAsia="楷体" w:cs="Arial"/>
                <w:b/>
                <w:kern w:val="0"/>
                <w:sz w:val="24"/>
              </w:rPr>
              <w:t>.</w:t>
            </w:r>
            <w:r>
              <w:rPr>
                <w:rFonts w:ascii="楷体" w:hAnsi="楷体" w:eastAsia="楷体" w:cs="Arial"/>
                <w:b/>
                <w:kern w:val="0"/>
                <w:sz w:val="24"/>
              </w:rPr>
              <w:t>《</w:t>
            </w:r>
            <w:r>
              <w:rPr>
                <w:rFonts w:hint="eastAsia" w:ascii="楷体" w:hAnsi="楷体" w:eastAsia="楷体" w:cs="Arial"/>
                <w:b/>
                <w:kern w:val="0"/>
                <w:sz w:val="24"/>
              </w:rPr>
              <w:t>不动产登记与不动产确认</w:t>
            </w:r>
            <w:r>
              <w:rPr>
                <w:rFonts w:ascii="楷体" w:hAnsi="楷体" w:eastAsia="楷体" w:cs="Arial"/>
                <w:b/>
                <w:kern w:val="0"/>
                <w:sz w:val="24"/>
              </w:rPr>
              <w:t>》</w:t>
            </w:r>
            <w:r>
              <w:rPr>
                <w:rFonts w:hint="eastAsia" w:ascii="楷体" w:hAnsi="楷体" w:eastAsia="楷体" w:cs="Arial"/>
                <w:b/>
                <w:kern w:val="0"/>
                <w:sz w:val="24"/>
              </w:rPr>
              <w:t>入选国家法官学院首批精品课程</w:t>
            </w:r>
            <w:r>
              <w:rPr>
                <w:rFonts w:ascii="楷体" w:hAnsi="楷体" w:eastAsia="楷体" w:cs="Arial"/>
                <w:b/>
                <w:kern w:val="0"/>
                <w:sz w:val="24"/>
              </w:rPr>
              <w:t>（2020</w:t>
            </w:r>
            <w:r>
              <w:rPr>
                <w:rFonts w:hint="eastAsia" w:ascii="楷体" w:hAnsi="楷体" w:eastAsia="楷体" w:cs="Arial"/>
                <w:b/>
                <w:kern w:val="0"/>
                <w:sz w:val="24"/>
              </w:rPr>
              <w:t>年</w:t>
            </w:r>
            <w:r>
              <w:rPr>
                <w:rFonts w:ascii="楷体" w:hAnsi="楷体" w:eastAsia="楷体" w:cs="Arial"/>
                <w:b/>
                <w:kern w:val="0"/>
                <w:sz w:val="24"/>
              </w:rPr>
              <w:t>；</w:t>
            </w:r>
            <w:r>
              <w:rPr>
                <w:rFonts w:hint="eastAsia" w:ascii="楷体" w:hAnsi="楷体" w:eastAsia="楷体" w:cs="Arial"/>
                <w:b/>
                <w:kern w:val="0"/>
                <w:sz w:val="24"/>
              </w:rPr>
              <w:t>未定等级</w:t>
            </w:r>
            <w:r>
              <w:rPr>
                <w:rFonts w:ascii="楷体" w:hAnsi="楷体" w:eastAsia="楷体" w:cs="Arial"/>
                <w:b/>
                <w:kern w:val="0"/>
                <w:sz w:val="24"/>
              </w:rPr>
              <w:t>）。</w:t>
            </w:r>
          </w:p>
          <w:p>
            <w:pPr>
              <w:tabs>
                <w:tab w:val="left" w:pos="4185"/>
              </w:tabs>
              <w:snapToGrid w:val="0"/>
              <w:rPr>
                <w:rFonts w:ascii="楷体" w:hAnsi="楷体" w:eastAsia="楷体" w:cs="Arial"/>
                <w:b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ascii="楷体" w:hAnsi="楷体" w:eastAsia="楷体" w:cs="Arial"/>
                <w:b/>
                <w:kern w:val="0"/>
                <w:sz w:val="24"/>
              </w:rPr>
            </w:pPr>
            <w:r>
              <w:rPr>
                <w:rFonts w:hint="eastAsia" w:ascii="楷体" w:hAnsi="楷体" w:eastAsia="楷体" w:cs="Arial"/>
                <w:b/>
                <w:kern w:val="0"/>
                <w:sz w:val="24"/>
              </w:rPr>
              <w:t>二</w:t>
            </w:r>
            <w:r>
              <w:rPr>
                <w:rFonts w:ascii="楷体" w:hAnsi="楷体" w:eastAsia="楷体" w:cs="Arial"/>
                <w:b/>
                <w:kern w:val="0"/>
                <w:sz w:val="24"/>
              </w:rPr>
              <w:t>、</w:t>
            </w:r>
            <w:r>
              <w:rPr>
                <w:rFonts w:hint="eastAsia" w:ascii="楷体" w:hAnsi="楷体" w:eastAsia="楷体" w:cs="Arial"/>
                <w:b/>
                <w:kern w:val="0"/>
                <w:sz w:val="24"/>
              </w:rPr>
              <w:t>所受表彰</w:t>
            </w:r>
          </w:p>
          <w:p>
            <w:pPr>
              <w:tabs>
                <w:tab w:val="left" w:pos="4185"/>
              </w:tabs>
              <w:snapToGrid w:val="0"/>
              <w:rPr>
                <w:rFonts w:ascii="楷体" w:hAnsi="楷体" w:eastAsia="楷体" w:cs="Arial"/>
                <w:b/>
                <w:kern w:val="0"/>
                <w:sz w:val="24"/>
              </w:rPr>
            </w:pPr>
            <w:r>
              <w:rPr>
                <w:rFonts w:ascii="楷体" w:hAnsi="楷体" w:eastAsia="楷体" w:cs="Arial"/>
                <w:b/>
                <w:kern w:val="0"/>
                <w:sz w:val="24"/>
              </w:rPr>
              <w:t>1</w:t>
            </w:r>
            <w:r>
              <w:rPr>
                <w:rFonts w:hint="eastAsia" w:ascii="楷体" w:hAnsi="楷体" w:eastAsia="楷体" w:cs="Arial"/>
                <w:b/>
                <w:kern w:val="0"/>
                <w:sz w:val="24"/>
              </w:rPr>
              <w:t>.作为承办人因审理“（2013）民提字第35号”案获最高人民法院嘉奖</w:t>
            </w:r>
            <w:r>
              <w:rPr>
                <w:rFonts w:ascii="楷体" w:hAnsi="楷体" w:eastAsia="楷体" w:cs="Arial"/>
                <w:b/>
                <w:kern w:val="0"/>
                <w:sz w:val="24"/>
              </w:rPr>
              <w:t>（201</w:t>
            </w:r>
            <w:r>
              <w:rPr>
                <w:rFonts w:hint="eastAsia" w:ascii="楷体" w:hAnsi="楷体" w:eastAsia="楷体" w:cs="Arial"/>
                <w:b/>
                <w:kern w:val="0"/>
                <w:sz w:val="24"/>
              </w:rPr>
              <w:t>4年</w:t>
            </w:r>
            <w:r>
              <w:rPr>
                <w:rFonts w:ascii="楷体" w:hAnsi="楷体" w:eastAsia="楷体" w:cs="Arial"/>
                <w:b/>
                <w:kern w:val="0"/>
                <w:sz w:val="24"/>
              </w:rPr>
              <w:t>；</w:t>
            </w:r>
            <w:r>
              <w:rPr>
                <w:rFonts w:hint="eastAsia" w:ascii="楷体" w:hAnsi="楷体" w:eastAsia="楷体" w:cs="Arial"/>
                <w:b/>
                <w:kern w:val="0"/>
                <w:sz w:val="24"/>
              </w:rPr>
              <w:t>未定等级</w:t>
            </w:r>
            <w:r>
              <w:rPr>
                <w:rFonts w:ascii="楷体" w:hAnsi="楷体" w:eastAsia="楷体" w:cs="Arial"/>
                <w:b/>
                <w:kern w:val="0"/>
                <w:sz w:val="24"/>
              </w:rPr>
              <w:t>）</w:t>
            </w:r>
            <w:r>
              <w:rPr>
                <w:rFonts w:hint="eastAsia" w:ascii="楷体" w:hAnsi="楷体" w:eastAsia="楷体" w:cs="Arial"/>
                <w:b/>
                <w:kern w:val="0"/>
                <w:sz w:val="24"/>
              </w:rPr>
              <w:t>。</w:t>
            </w:r>
          </w:p>
          <w:p>
            <w:pPr>
              <w:tabs>
                <w:tab w:val="left" w:pos="4185"/>
              </w:tabs>
              <w:snapToGrid w:val="0"/>
              <w:rPr>
                <w:rFonts w:ascii="楷体" w:hAnsi="楷体" w:eastAsia="楷体" w:cs="Arial"/>
                <w:b/>
                <w:kern w:val="0"/>
                <w:sz w:val="24"/>
              </w:rPr>
            </w:pPr>
            <w:r>
              <w:rPr>
                <w:rFonts w:ascii="楷体" w:hAnsi="楷体" w:eastAsia="楷体" w:cs="Arial"/>
                <w:b/>
                <w:kern w:val="0"/>
                <w:sz w:val="24"/>
              </w:rPr>
              <w:t>2</w:t>
            </w:r>
            <w:r>
              <w:rPr>
                <w:rFonts w:hint="eastAsia" w:ascii="楷体" w:hAnsi="楷体" w:eastAsia="楷体" w:cs="Arial"/>
                <w:b/>
                <w:kern w:val="0"/>
                <w:sz w:val="24"/>
              </w:rPr>
              <w:t>.作为合议庭成员因参与“葡萄牙宜达力公司与江西赛维公司、中国银行江西分行独立保函纠纷案”的审理获最高人民法院通报表扬</w:t>
            </w:r>
            <w:r>
              <w:rPr>
                <w:rFonts w:ascii="楷体" w:hAnsi="楷体" w:eastAsia="楷体" w:cs="Arial"/>
                <w:b/>
                <w:kern w:val="0"/>
                <w:sz w:val="24"/>
              </w:rPr>
              <w:t>（2015</w:t>
            </w:r>
            <w:r>
              <w:rPr>
                <w:rFonts w:hint="eastAsia" w:ascii="楷体" w:hAnsi="楷体" w:eastAsia="楷体" w:cs="Arial"/>
                <w:b/>
                <w:kern w:val="0"/>
                <w:sz w:val="24"/>
              </w:rPr>
              <w:t>年</w:t>
            </w:r>
            <w:r>
              <w:rPr>
                <w:rFonts w:ascii="楷体" w:hAnsi="楷体" w:eastAsia="楷体" w:cs="Arial"/>
                <w:b/>
                <w:kern w:val="0"/>
                <w:sz w:val="24"/>
              </w:rPr>
              <w:t>；</w:t>
            </w:r>
            <w:r>
              <w:rPr>
                <w:rFonts w:hint="eastAsia" w:ascii="楷体" w:hAnsi="楷体" w:eastAsia="楷体" w:cs="Arial"/>
                <w:b/>
                <w:kern w:val="0"/>
                <w:sz w:val="24"/>
              </w:rPr>
              <w:t>未定等级</w:t>
            </w:r>
            <w:r>
              <w:rPr>
                <w:rFonts w:ascii="楷体" w:hAnsi="楷体" w:eastAsia="楷体" w:cs="Arial"/>
                <w:b/>
                <w:kern w:val="0"/>
                <w:sz w:val="24"/>
              </w:rPr>
              <w:t>）</w:t>
            </w:r>
            <w:r>
              <w:rPr>
                <w:rFonts w:hint="eastAsia" w:ascii="楷体" w:hAnsi="楷体" w:eastAsia="楷体" w:cs="Arial"/>
                <w:b/>
                <w:kern w:val="0"/>
                <w:sz w:val="24"/>
              </w:rPr>
              <w:t>。</w:t>
            </w:r>
          </w:p>
          <w:p>
            <w:pPr>
              <w:tabs>
                <w:tab w:val="left" w:pos="4185"/>
              </w:tabs>
              <w:snapToGrid w:val="0"/>
              <w:rPr>
                <w:rFonts w:ascii="楷体" w:hAnsi="楷体" w:eastAsia="楷体" w:cs="Arial"/>
                <w:b/>
                <w:kern w:val="0"/>
                <w:sz w:val="24"/>
              </w:rPr>
            </w:pPr>
            <w:r>
              <w:rPr>
                <w:rFonts w:ascii="楷体" w:hAnsi="楷体" w:eastAsia="楷体" w:cs="Arial"/>
                <w:b/>
                <w:kern w:val="0"/>
                <w:sz w:val="24"/>
              </w:rPr>
              <w:t>3</w:t>
            </w:r>
            <w:r>
              <w:rPr>
                <w:rFonts w:hint="eastAsia" w:ascii="楷体" w:hAnsi="楷体" w:eastAsia="楷体" w:cs="Arial"/>
                <w:b/>
                <w:kern w:val="0"/>
                <w:sz w:val="24"/>
              </w:rPr>
              <w:t>.作为最高人民法院西部法官培训讲师团成员获最高人民法院嘉奖</w:t>
            </w:r>
            <w:r>
              <w:rPr>
                <w:rFonts w:ascii="楷体" w:hAnsi="楷体" w:eastAsia="楷体" w:cs="Arial"/>
                <w:b/>
                <w:kern w:val="0"/>
                <w:sz w:val="24"/>
              </w:rPr>
              <w:t>（</w:t>
            </w:r>
            <w:r>
              <w:rPr>
                <w:rFonts w:hint="eastAsia" w:ascii="楷体" w:hAnsi="楷体" w:eastAsia="楷体" w:cs="Arial"/>
                <w:b/>
                <w:kern w:val="0"/>
                <w:sz w:val="24"/>
              </w:rPr>
              <w:t>2006年，未定等级</w:t>
            </w:r>
            <w:r>
              <w:rPr>
                <w:rFonts w:ascii="楷体" w:hAnsi="楷体" w:eastAsia="楷体" w:cs="Arial"/>
                <w:b/>
                <w:kern w:val="0"/>
                <w:sz w:val="24"/>
              </w:rPr>
              <w:t>）。</w:t>
            </w:r>
          </w:p>
          <w:p>
            <w:pPr>
              <w:tabs>
                <w:tab w:val="left" w:pos="4185"/>
              </w:tabs>
              <w:snapToGrid w:val="0"/>
              <w:rPr>
                <w:rFonts w:ascii="楷体" w:hAnsi="楷体" w:eastAsia="楷体" w:cs="Arial"/>
                <w:b/>
                <w:kern w:val="0"/>
                <w:sz w:val="24"/>
              </w:rPr>
            </w:pPr>
            <w:r>
              <w:rPr>
                <w:rFonts w:ascii="楷体" w:hAnsi="楷体" w:eastAsia="楷体" w:cs="Arial"/>
                <w:b/>
                <w:kern w:val="0"/>
                <w:sz w:val="24"/>
              </w:rPr>
              <w:t>4.</w:t>
            </w:r>
            <w:r>
              <w:rPr>
                <w:rFonts w:hint="eastAsia" w:ascii="楷体" w:hAnsi="楷体" w:eastAsia="楷体" w:cs="Arial"/>
                <w:b/>
                <w:kern w:val="0"/>
                <w:sz w:val="24"/>
              </w:rPr>
              <w:t>作为最高人民法院西部法官培训讲师团成员获最高人民法院嘉奖</w:t>
            </w:r>
            <w:r>
              <w:rPr>
                <w:rFonts w:ascii="楷体" w:hAnsi="楷体" w:eastAsia="楷体" w:cs="Arial"/>
                <w:b/>
                <w:kern w:val="0"/>
                <w:sz w:val="24"/>
              </w:rPr>
              <w:t>（</w:t>
            </w:r>
            <w:r>
              <w:rPr>
                <w:rFonts w:hint="eastAsia" w:ascii="楷体" w:hAnsi="楷体" w:eastAsia="楷体" w:cs="Arial"/>
                <w:b/>
                <w:kern w:val="0"/>
                <w:sz w:val="24"/>
              </w:rPr>
              <w:t>2007年，未定等级</w:t>
            </w:r>
            <w:r>
              <w:rPr>
                <w:rFonts w:ascii="楷体" w:hAnsi="楷体" w:eastAsia="楷体" w:cs="Arial"/>
                <w:b/>
                <w:kern w:val="0"/>
                <w:sz w:val="24"/>
              </w:rPr>
              <w:t>）。</w:t>
            </w:r>
          </w:p>
          <w:p>
            <w:pPr>
              <w:tabs>
                <w:tab w:val="left" w:pos="4185"/>
              </w:tabs>
              <w:snapToGrid w:val="0"/>
              <w:rPr>
                <w:rFonts w:ascii="楷体" w:hAnsi="楷体" w:eastAsia="楷体" w:cs="Arial"/>
                <w:b/>
                <w:kern w:val="0"/>
                <w:sz w:val="24"/>
              </w:rPr>
            </w:pPr>
            <w:r>
              <w:rPr>
                <w:rFonts w:ascii="楷体" w:hAnsi="楷体" w:eastAsia="楷体" w:cs="Arial"/>
                <w:b/>
                <w:kern w:val="0"/>
                <w:sz w:val="24"/>
              </w:rPr>
              <w:t>5</w:t>
            </w:r>
            <w:r>
              <w:rPr>
                <w:rFonts w:hint="eastAsia" w:ascii="楷体" w:hAnsi="楷体" w:eastAsia="楷体" w:cs="Arial"/>
                <w:b/>
                <w:kern w:val="0"/>
                <w:sz w:val="24"/>
              </w:rPr>
              <w:t>.因在</w:t>
            </w:r>
            <w:r>
              <w:rPr>
                <w:rFonts w:ascii="楷体" w:hAnsi="楷体" w:eastAsia="楷体" w:cs="Arial"/>
                <w:b/>
                <w:kern w:val="0"/>
                <w:sz w:val="24"/>
              </w:rPr>
              <w:t>2013</w:t>
            </w:r>
            <w:r>
              <w:rPr>
                <w:rFonts w:hint="eastAsia" w:ascii="楷体" w:hAnsi="楷体" w:eastAsia="楷体" w:cs="Arial"/>
                <w:b/>
                <w:kern w:val="0"/>
                <w:sz w:val="24"/>
              </w:rPr>
              <w:t>年度工作中成绩突出</w:t>
            </w:r>
            <w:r>
              <w:rPr>
                <w:rFonts w:ascii="楷体" w:hAnsi="楷体" w:eastAsia="楷体" w:cs="Arial"/>
                <w:b/>
                <w:kern w:val="0"/>
                <w:sz w:val="24"/>
              </w:rPr>
              <w:t>，</w:t>
            </w:r>
            <w:r>
              <w:rPr>
                <w:rFonts w:hint="eastAsia" w:ascii="楷体" w:hAnsi="楷体" w:eastAsia="楷体" w:cs="Arial"/>
                <w:b/>
                <w:kern w:val="0"/>
                <w:sz w:val="24"/>
              </w:rPr>
              <w:t>获最高人民法院嘉奖</w:t>
            </w:r>
            <w:r>
              <w:rPr>
                <w:rFonts w:ascii="楷体" w:hAnsi="楷体" w:eastAsia="楷体" w:cs="Arial"/>
                <w:b/>
                <w:kern w:val="0"/>
                <w:sz w:val="24"/>
              </w:rPr>
              <w:t>（2014</w:t>
            </w:r>
            <w:r>
              <w:rPr>
                <w:rFonts w:hint="eastAsia" w:ascii="楷体" w:hAnsi="楷体" w:eastAsia="楷体" w:cs="Arial"/>
                <w:b/>
                <w:kern w:val="0"/>
                <w:sz w:val="24"/>
              </w:rPr>
              <w:t>年</w:t>
            </w:r>
            <w:r>
              <w:rPr>
                <w:rFonts w:ascii="楷体" w:hAnsi="楷体" w:eastAsia="楷体" w:cs="Arial"/>
                <w:b/>
                <w:kern w:val="0"/>
                <w:sz w:val="24"/>
              </w:rPr>
              <w:t>，</w:t>
            </w:r>
            <w:r>
              <w:rPr>
                <w:rFonts w:hint="eastAsia" w:ascii="楷体" w:hAnsi="楷体" w:eastAsia="楷体" w:cs="Arial"/>
                <w:b/>
                <w:kern w:val="0"/>
                <w:sz w:val="24"/>
              </w:rPr>
              <w:t>未定等级</w:t>
            </w:r>
            <w:r>
              <w:rPr>
                <w:rFonts w:ascii="楷体" w:hAnsi="楷体" w:eastAsia="楷体" w:cs="Arial"/>
                <w:b/>
                <w:kern w:val="0"/>
                <w:sz w:val="24"/>
              </w:rPr>
              <w:t>）。</w:t>
            </w:r>
          </w:p>
          <w:p>
            <w:pPr>
              <w:tabs>
                <w:tab w:val="left" w:pos="4185"/>
              </w:tabs>
              <w:snapToGrid w:val="0"/>
              <w:rPr>
                <w:rFonts w:ascii="楷体" w:hAnsi="楷体" w:eastAsia="楷体" w:cs="Arial"/>
                <w:b/>
                <w:kern w:val="0"/>
                <w:sz w:val="24"/>
              </w:rPr>
            </w:pPr>
            <w:r>
              <w:rPr>
                <w:rFonts w:ascii="楷体" w:hAnsi="楷体" w:eastAsia="楷体" w:cs="Arial"/>
                <w:b/>
                <w:kern w:val="0"/>
                <w:sz w:val="24"/>
              </w:rPr>
              <w:t>6</w:t>
            </w:r>
            <w:r>
              <w:rPr>
                <w:rFonts w:hint="eastAsia" w:ascii="楷体" w:hAnsi="楷体" w:eastAsia="楷体" w:cs="Arial"/>
                <w:b/>
                <w:kern w:val="0"/>
                <w:sz w:val="24"/>
              </w:rPr>
              <w:t>.因在</w:t>
            </w:r>
            <w:r>
              <w:rPr>
                <w:rFonts w:ascii="楷体" w:hAnsi="楷体" w:eastAsia="楷体" w:cs="Arial"/>
                <w:b/>
                <w:kern w:val="0"/>
                <w:sz w:val="24"/>
              </w:rPr>
              <w:t>2018</w:t>
            </w:r>
            <w:r>
              <w:rPr>
                <w:rFonts w:hint="eastAsia" w:ascii="楷体" w:hAnsi="楷体" w:eastAsia="楷体" w:cs="Arial"/>
                <w:b/>
                <w:kern w:val="0"/>
                <w:sz w:val="24"/>
              </w:rPr>
              <w:t>年度工作中成绩突出</w:t>
            </w:r>
            <w:r>
              <w:rPr>
                <w:rFonts w:ascii="楷体" w:hAnsi="楷体" w:eastAsia="楷体" w:cs="Arial"/>
                <w:b/>
                <w:kern w:val="0"/>
                <w:sz w:val="24"/>
              </w:rPr>
              <w:t>，</w:t>
            </w:r>
            <w:r>
              <w:rPr>
                <w:rFonts w:hint="eastAsia" w:ascii="楷体" w:hAnsi="楷体" w:eastAsia="楷体" w:cs="Arial"/>
                <w:b/>
                <w:kern w:val="0"/>
                <w:sz w:val="24"/>
              </w:rPr>
              <w:t>获最高人民法院嘉奖</w:t>
            </w:r>
            <w:r>
              <w:rPr>
                <w:rFonts w:ascii="楷体" w:hAnsi="楷体" w:eastAsia="楷体" w:cs="Arial"/>
                <w:b/>
                <w:kern w:val="0"/>
                <w:sz w:val="24"/>
              </w:rPr>
              <w:t>（2019</w:t>
            </w:r>
            <w:r>
              <w:rPr>
                <w:rFonts w:hint="eastAsia" w:ascii="楷体" w:hAnsi="楷体" w:eastAsia="楷体" w:cs="Arial"/>
                <w:b/>
                <w:kern w:val="0"/>
                <w:sz w:val="24"/>
              </w:rPr>
              <w:t>年</w:t>
            </w:r>
            <w:r>
              <w:rPr>
                <w:rFonts w:ascii="楷体" w:hAnsi="楷体" w:eastAsia="楷体" w:cs="Arial"/>
                <w:b/>
                <w:kern w:val="0"/>
                <w:sz w:val="24"/>
              </w:rPr>
              <w:t>，</w:t>
            </w:r>
            <w:r>
              <w:rPr>
                <w:rFonts w:hint="eastAsia" w:ascii="楷体" w:hAnsi="楷体" w:eastAsia="楷体" w:cs="Arial"/>
                <w:b/>
                <w:kern w:val="0"/>
                <w:sz w:val="24"/>
              </w:rPr>
              <w:t>未定等级</w:t>
            </w:r>
            <w:r>
              <w:rPr>
                <w:rFonts w:ascii="楷体" w:hAnsi="楷体" w:eastAsia="楷体" w:cs="Arial"/>
                <w:b/>
                <w:kern w:val="0"/>
                <w:sz w:val="24"/>
              </w:rPr>
              <w:t>）。</w:t>
            </w:r>
          </w:p>
          <w:p>
            <w:pPr>
              <w:tabs>
                <w:tab w:val="left" w:pos="4185"/>
              </w:tabs>
              <w:snapToGrid w:val="0"/>
              <w:rPr>
                <w:rFonts w:ascii="楷体" w:hAnsi="楷体" w:eastAsia="楷体" w:cs="Arial"/>
                <w:b/>
                <w:kern w:val="0"/>
                <w:sz w:val="24"/>
              </w:rPr>
            </w:pPr>
            <w:r>
              <w:rPr>
                <w:rFonts w:hint="eastAsia" w:ascii="楷体" w:hAnsi="楷体" w:eastAsia="楷体" w:cs="Arial"/>
                <w:b/>
                <w:kern w:val="0"/>
                <w:sz w:val="24"/>
              </w:rPr>
              <w:t>7.因在</w:t>
            </w:r>
            <w:r>
              <w:rPr>
                <w:rFonts w:ascii="楷体" w:hAnsi="楷体" w:eastAsia="楷体" w:cs="Arial"/>
                <w:b/>
                <w:kern w:val="0"/>
                <w:sz w:val="24"/>
              </w:rPr>
              <w:t>20</w:t>
            </w:r>
            <w:r>
              <w:rPr>
                <w:rFonts w:hint="eastAsia" w:ascii="楷体" w:hAnsi="楷体" w:eastAsia="楷体" w:cs="Arial"/>
                <w:b/>
                <w:kern w:val="0"/>
                <w:sz w:val="24"/>
              </w:rPr>
              <w:t>21年度工作中成绩突出</w:t>
            </w:r>
            <w:r>
              <w:rPr>
                <w:rFonts w:ascii="楷体" w:hAnsi="楷体" w:eastAsia="楷体" w:cs="Arial"/>
                <w:b/>
                <w:kern w:val="0"/>
                <w:sz w:val="24"/>
              </w:rPr>
              <w:t>，</w:t>
            </w:r>
            <w:r>
              <w:rPr>
                <w:rFonts w:hint="eastAsia" w:ascii="楷体" w:hAnsi="楷体" w:eastAsia="楷体" w:cs="Arial"/>
                <w:b/>
                <w:kern w:val="0"/>
                <w:sz w:val="24"/>
              </w:rPr>
              <w:t>获最高人民法院嘉奖</w:t>
            </w:r>
            <w:r>
              <w:rPr>
                <w:rFonts w:ascii="楷体" w:hAnsi="楷体" w:eastAsia="楷体" w:cs="Arial"/>
                <w:b/>
                <w:kern w:val="0"/>
                <w:sz w:val="24"/>
              </w:rPr>
              <w:t>（20</w:t>
            </w:r>
            <w:r>
              <w:rPr>
                <w:rFonts w:hint="eastAsia" w:ascii="楷体" w:hAnsi="楷体" w:eastAsia="楷体" w:cs="Arial"/>
                <w:b/>
                <w:kern w:val="0"/>
                <w:sz w:val="24"/>
              </w:rPr>
              <w:t>22年</w:t>
            </w:r>
            <w:r>
              <w:rPr>
                <w:rFonts w:ascii="楷体" w:hAnsi="楷体" w:eastAsia="楷体" w:cs="Arial"/>
                <w:b/>
                <w:kern w:val="0"/>
                <w:sz w:val="24"/>
              </w:rPr>
              <w:t>，</w:t>
            </w:r>
            <w:r>
              <w:rPr>
                <w:rFonts w:hint="eastAsia" w:ascii="楷体" w:hAnsi="楷体" w:eastAsia="楷体" w:cs="Arial"/>
                <w:b/>
                <w:kern w:val="0"/>
                <w:sz w:val="24"/>
              </w:rPr>
              <w:t>未定等级</w:t>
            </w:r>
            <w:r>
              <w:rPr>
                <w:rFonts w:ascii="楷体" w:hAnsi="楷体" w:eastAsia="楷体" w:cs="Arial"/>
                <w:b/>
                <w:kern w:val="0"/>
                <w:sz w:val="24"/>
              </w:rPr>
              <w:t>）。</w:t>
            </w:r>
          </w:p>
          <w:p>
            <w:pPr>
              <w:tabs>
                <w:tab w:val="left" w:pos="4185"/>
              </w:tabs>
              <w:snapToGrid w:val="0"/>
              <w:rPr>
                <w:rFonts w:ascii="楷体" w:hAnsi="楷体" w:eastAsia="楷体" w:cs="Arial"/>
                <w:b/>
                <w:kern w:val="0"/>
                <w:sz w:val="24"/>
              </w:rPr>
            </w:pPr>
            <w:r>
              <w:rPr>
                <w:rFonts w:hint="eastAsia" w:ascii="楷体" w:hAnsi="楷体" w:eastAsia="楷体" w:cs="Arial"/>
                <w:b/>
                <w:kern w:val="0"/>
                <w:sz w:val="24"/>
              </w:rPr>
              <w:t>8.因在</w:t>
            </w:r>
            <w:r>
              <w:rPr>
                <w:rFonts w:ascii="楷体" w:hAnsi="楷体" w:eastAsia="楷体" w:cs="Arial"/>
                <w:b/>
                <w:kern w:val="0"/>
                <w:sz w:val="24"/>
              </w:rPr>
              <w:t>2022</w:t>
            </w:r>
            <w:r>
              <w:rPr>
                <w:rFonts w:hint="eastAsia" w:ascii="楷体" w:hAnsi="楷体" w:eastAsia="楷体" w:cs="Arial"/>
                <w:b/>
                <w:kern w:val="0"/>
                <w:sz w:val="24"/>
              </w:rPr>
              <w:t>年度工作中成绩突出</w:t>
            </w:r>
            <w:r>
              <w:rPr>
                <w:rFonts w:ascii="楷体" w:hAnsi="楷体" w:eastAsia="楷体" w:cs="Arial"/>
                <w:b/>
                <w:kern w:val="0"/>
                <w:sz w:val="24"/>
              </w:rPr>
              <w:t>，</w:t>
            </w:r>
            <w:r>
              <w:rPr>
                <w:rFonts w:hint="eastAsia" w:ascii="楷体" w:hAnsi="楷体" w:eastAsia="楷体" w:cs="Arial"/>
                <w:b/>
                <w:kern w:val="0"/>
                <w:sz w:val="24"/>
              </w:rPr>
              <w:t>获最高人民法院嘉奖</w:t>
            </w:r>
            <w:r>
              <w:rPr>
                <w:rFonts w:ascii="楷体" w:hAnsi="楷体" w:eastAsia="楷体" w:cs="Arial"/>
                <w:b/>
                <w:kern w:val="0"/>
                <w:sz w:val="24"/>
              </w:rPr>
              <w:t>（2023</w:t>
            </w:r>
            <w:r>
              <w:rPr>
                <w:rFonts w:hint="eastAsia" w:ascii="楷体" w:hAnsi="楷体" w:eastAsia="楷体" w:cs="Arial"/>
                <w:b/>
                <w:kern w:val="0"/>
                <w:sz w:val="24"/>
              </w:rPr>
              <w:t>年</w:t>
            </w:r>
            <w:r>
              <w:rPr>
                <w:rFonts w:ascii="楷体" w:hAnsi="楷体" w:eastAsia="楷体" w:cs="Arial"/>
                <w:b/>
                <w:kern w:val="0"/>
                <w:sz w:val="24"/>
              </w:rPr>
              <w:t>，</w:t>
            </w:r>
            <w:r>
              <w:rPr>
                <w:rFonts w:hint="eastAsia" w:ascii="楷体" w:hAnsi="楷体" w:eastAsia="楷体" w:cs="Arial"/>
                <w:b/>
                <w:kern w:val="0"/>
                <w:sz w:val="24"/>
              </w:rPr>
              <w:t>未定等级</w:t>
            </w:r>
            <w:r>
              <w:rPr>
                <w:rFonts w:ascii="楷体" w:hAnsi="楷体" w:eastAsia="楷体" w:cs="Arial"/>
                <w:b/>
                <w:kern w:val="0"/>
                <w:sz w:val="24"/>
              </w:rPr>
              <w:t>）。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cs="Arial"/>
                <w:kern w:val="0"/>
                <w:sz w:val="32"/>
                <w:szCs w:val="32"/>
              </w:rPr>
            </w:pPr>
          </w:p>
        </w:tc>
      </w:tr>
    </w:tbl>
    <w:p>
      <w:pPr>
        <w:spacing w:line="20" w:lineRule="exac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93201D8"/>
    <w:multiLevelType w:val="singleLevel"/>
    <w:tmpl w:val="A93201D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F7B24C2"/>
    <w:multiLevelType w:val="singleLevel"/>
    <w:tmpl w:val="CF7B24C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xNWNjNDYyYTNmOTgxMGY2OWQ2MmJlMDMyM2M5ZmIifQ=="/>
  </w:docVars>
  <w:rsids>
    <w:rsidRoot w:val="AFFF087D"/>
    <w:rsid w:val="00096AC3"/>
    <w:rsid w:val="000A6239"/>
    <w:rsid w:val="000F2BDF"/>
    <w:rsid w:val="00243669"/>
    <w:rsid w:val="002665C6"/>
    <w:rsid w:val="002C5A6B"/>
    <w:rsid w:val="003962EE"/>
    <w:rsid w:val="003A242E"/>
    <w:rsid w:val="003D2D63"/>
    <w:rsid w:val="00415F56"/>
    <w:rsid w:val="00476825"/>
    <w:rsid w:val="004B0246"/>
    <w:rsid w:val="0052358C"/>
    <w:rsid w:val="00591E59"/>
    <w:rsid w:val="005D2802"/>
    <w:rsid w:val="005D5BF9"/>
    <w:rsid w:val="00660B53"/>
    <w:rsid w:val="006F67C8"/>
    <w:rsid w:val="007245C8"/>
    <w:rsid w:val="007742F2"/>
    <w:rsid w:val="00777BB8"/>
    <w:rsid w:val="007D68B9"/>
    <w:rsid w:val="00824656"/>
    <w:rsid w:val="00837BCA"/>
    <w:rsid w:val="008F6BF0"/>
    <w:rsid w:val="00956368"/>
    <w:rsid w:val="00A41F56"/>
    <w:rsid w:val="00B54792"/>
    <w:rsid w:val="00C10ABB"/>
    <w:rsid w:val="00CF7DB5"/>
    <w:rsid w:val="00D036FE"/>
    <w:rsid w:val="00D03C06"/>
    <w:rsid w:val="00E224A6"/>
    <w:rsid w:val="00E27607"/>
    <w:rsid w:val="00E40C72"/>
    <w:rsid w:val="00E63EE5"/>
    <w:rsid w:val="00F4001C"/>
    <w:rsid w:val="00F60C54"/>
    <w:rsid w:val="00FB06D9"/>
    <w:rsid w:val="00FC7BCE"/>
    <w:rsid w:val="1EBD9178"/>
    <w:rsid w:val="2CEFB339"/>
    <w:rsid w:val="2EFBBC48"/>
    <w:rsid w:val="35FF4A26"/>
    <w:rsid w:val="3B554A56"/>
    <w:rsid w:val="3B9D0C2F"/>
    <w:rsid w:val="3BBF1B45"/>
    <w:rsid w:val="3C7958C5"/>
    <w:rsid w:val="3DDF93AC"/>
    <w:rsid w:val="3DFF8C80"/>
    <w:rsid w:val="3F777E13"/>
    <w:rsid w:val="3FAC72FC"/>
    <w:rsid w:val="3FDF6C0E"/>
    <w:rsid w:val="3FE72CC8"/>
    <w:rsid w:val="3FE95ABC"/>
    <w:rsid w:val="56EEFD7E"/>
    <w:rsid w:val="57B74E1B"/>
    <w:rsid w:val="591FD8F5"/>
    <w:rsid w:val="594A475D"/>
    <w:rsid w:val="5AAC40BB"/>
    <w:rsid w:val="5BCDC1B1"/>
    <w:rsid w:val="5CCA73B7"/>
    <w:rsid w:val="5D5B6B57"/>
    <w:rsid w:val="5DD32290"/>
    <w:rsid w:val="5DF46E1D"/>
    <w:rsid w:val="5DFEE7D4"/>
    <w:rsid w:val="5F3743E3"/>
    <w:rsid w:val="5FBC2178"/>
    <w:rsid w:val="67272FC9"/>
    <w:rsid w:val="6DF554B0"/>
    <w:rsid w:val="6DFBD74F"/>
    <w:rsid w:val="6F9B4CF3"/>
    <w:rsid w:val="6FAF0381"/>
    <w:rsid w:val="6FFF2EC6"/>
    <w:rsid w:val="7467F6ED"/>
    <w:rsid w:val="75BF84EE"/>
    <w:rsid w:val="7A8FFAC6"/>
    <w:rsid w:val="7AFB59A5"/>
    <w:rsid w:val="7BDFCBFF"/>
    <w:rsid w:val="7CFECE28"/>
    <w:rsid w:val="7DB18C74"/>
    <w:rsid w:val="7DBAEB37"/>
    <w:rsid w:val="7DBF1A34"/>
    <w:rsid w:val="7DEB2C32"/>
    <w:rsid w:val="7DFF523D"/>
    <w:rsid w:val="7E5F3199"/>
    <w:rsid w:val="7E79EB46"/>
    <w:rsid w:val="7ED73893"/>
    <w:rsid w:val="7EE922E9"/>
    <w:rsid w:val="7EED552D"/>
    <w:rsid w:val="7EF35ADA"/>
    <w:rsid w:val="7F6B6D36"/>
    <w:rsid w:val="7F7B04A8"/>
    <w:rsid w:val="7F7EF37E"/>
    <w:rsid w:val="7F7F947A"/>
    <w:rsid w:val="7F9F5E7C"/>
    <w:rsid w:val="7FA5EC14"/>
    <w:rsid w:val="7FD7D6B2"/>
    <w:rsid w:val="7FF37BAA"/>
    <w:rsid w:val="7FFD9C8B"/>
    <w:rsid w:val="7FFF99D8"/>
    <w:rsid w:val="953FAA31"/>
    <w:rsid w:val="9DBC5BFE"/>
    <w:rsid w:val="A7EB79A2"/>
    <w:rsid w:val="ABC2528A"/>
    <w:rsid w:val="ABFD3B40"/>
    <w:rsid w:val="ABFF5D13"/>
    <w:rsid w:val="AE8F304D"/>
    <w:rsid w:val="AFFF087D"/>
    <w:rsid w:val="B66FC1BA"/>
    <w:rsid w:val="B7D56515"/>
    <w:rsid w:val="B9EF54B5"/>
    <w:rsid w:val="BA7F7650"/>
    <w:rsid w:val="BB55CF0E"/>
    <w:rsid w:val="BE3FDE16"/>
    <w:rsid w:val="BEF68DDD"/>
    <w:rsid w:val="BEFF65E4"/>
    <w:rsid w:val="BFDF9B87"/>
    <w:rsid w:val="BFF0FFD0"/>
    <w:rsid w:val="CE3FCBBB"/>
    <w:rsid w:val="CFDF4138"/>
    <w:rsid w:val="D7371D03"/>
    <w:rsid w:val="D7FE4373"/>
    <w:rsid w:val="DBEF305F"/>
    <w:rsid w:val="DE7F24A6"/>
    <w:rsid w:val="DFEF6C99"/>
    <w:rsid w:val="DFFFEB29"/>
    <w:rsid w:val="E9FFE041"/>
    <w:rsid w:val="ED661AE8"/>
    <w:rsid w:val="EDFF9236"/>
    <w:rsid w:val="EEFDCF1B"/>
    <w:rsid w:val="EF358C7A"/>
    <w:rsid w:val="EFBFEC5E"/>
    <w:rsid w:val="EFFF433D"/>
    <w:rsid w:val="F2715785"/>
    <w:rsid w:val="F3D759E3"/>
    <w:rsid w:val="F7AF7DD2"/>
    <w:rsid w:val="F8FCFD36"/>
    <w:rsid w:val="F97DB318"/>
    <w:rsid w:val="FAFBA160"/>
    <w:rsid w:val="FBDBA10B"/>
    <w:rsid w:val="FBF77622"/>
    <w:rsid w:val="FD9060F1"/>
    <w:rsid w:val="FE7F89ED"/>
    <w:rsid w:val="FEF2792F"/>
    <w:rsid w:val="FF1BAFA7"/>
    <w:rsid w:val="FF3FA724"/>
    <w:rsid w:val="FF6D7F3E"/>
    <w:rsid w:val="FFAD001C"/>
    <w:rsid w:val="FFBF67D3"/>
    <w:rsid w:val="FFD77033"/>
    <w:rsid w:val="FFDF0FB2"/>
    <w:rsid w:val="FFF5B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批注框文本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0">
    <w:name w:val="页眉 Char"/>
    <w:basedOn w:val="7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5314</Words>
  <Characters>5897</Characters>
  <Lines>64</Lines>
  <Paragraphs>18</Paragraphs>
  <TotalTime>240</TotalTime>
  <ScaleCrop>false</ScaleCrop>
  <LinksUpToDate>false</LinksUpToDate>
  <CharactersWithSpaces>6010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2022-12-29T19:44:00Z</dcterms:created>
  <dc:creator>fxhuser</dc:creator>
  <cp:lastModifiedBy>执牛耳</cp:lastModifiedBy>
  <cp:lastPrinted>2023-02-07T10:35:00Z</cp:lastPrinted>
  <dcterms:modified xsi:type="dcterms:W3CDTF">2023-04-27T06:45:58Z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06E3BF04B7DA18C077EFDD63222F2E46</vt:lpwstr>
  </property>
</Properties>
</file>