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徐阳光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中国人民大学法学院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中国法学会财税法学研究会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徐阳光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08710" cy="1657985"/>
                  <wp:effectExtent l="0" t="0" r="8890" b="18415"/>
                  <wp:docPr id="1" name="图片 1" descr="徐阳光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徐阳光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739" b="4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1979.01.07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中国人民大学法学院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北京市海淀区中关村大街59号明德法学楼806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4185"/>
              </w:tabs>
              <w:snapToGrid w:val="0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徐阳光共计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</w:rPr>
              <w:t>发表论文70余篇，其中，在《中国法学》发文2篇，在《中国人民大学学报》发文3篇，在《中外法学》《清华法学》《法学家》《法商研究》《法学》《环球法律评论》《法学杂志》等CLSCI期刊发文7篇，在《光明日报》理论版发文1篇，其中10篇论文被《人大复印报刊资料》全文转载；共计出版学术著作7部（译著2部），包括国内第一部财政转移支付法的专著，国内第一部破产法与财税法交叉领域的专著；独立主持国家社科基金项目3项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/>
              <w:ind w:firstLine="420" w:firstLineChars="200"/>
              <w:jc w:val="left"/>
              <w:textAlignment w:val="auto"/>
              <w:rPr>
                <w:rFonts w:hint="eastAsia" w:ascii="Calibri" w:hAnsi="Calibri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（一）代表性成果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eastAsia" w:ascii="Calibri" w:hAnsi="Calibri" w:eastAsia="宋体" w:cs="楷体"/>
                <w:b w:val="0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著作1：《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</w:rPr>
              <w:t>政府间财政关系之法治化研究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独著，法律出版社2016年版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</w:t>
            </w:r>
            <w:bookmarkStart w:id="0" w:name="OLE_LINK3"/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频次</w:t>
            </w:r>
            <w:bookmarkEnd w:id="0"/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: 31，总他引频次: 31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Calibri" w:hAnsi="Calibri" w:cs="宋体"/>
                <w:b w:val="0"/>
                <w:bCs/>
                <w:color w:val="000000"/>
                <w:sz w:val="21"/>
                <w:szCs w:val="21"/>
                <w:lang w:eastAsia="zh-CN"/>
              </w:rPr>
              <w:t>27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eastAsia" w:ascii="Calibri" w:hAnsi="Calibri" w:eastAsia="宋体" w:cs="楷体"/>
                <w:b w:val="0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著作2：《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财政转移支付制度的法学解析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》，独著，北京大学出版社2009年版（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总被引频次: 211， 总他引频次: 208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宋体"/>
                <w:b w:val="0"/>
                <w:bCs/>
                <w:color w:val="000000"/>
                <w:sz w:val="21"/>
                <w:szCs w:val="21"/>
                <w:lang w:eastAsia="zh-CN"/>
              </w:rPr>
              <w:t>29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default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破产程序中的税法问题研究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独著，载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default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中国法学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》2018年第2期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总被引频次: 107，总他引频次: 107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2.1万字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default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：“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个人破产免责的理论基础与规范构建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中国法学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》2021年第4期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总被引频次: 37，总他引频次: 36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2.4万字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default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论文3：“</w:t>
            </w:r>
            <w:r>
              <w:rPr>
                <w:rFonts w:hint="eastAsia" w:ascii="Calibri" w:hAnsi="Calibri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民主与专业的平衡:税收法定原则的中国进路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eastAsia" w:ascii="Calibri" w:hAnsi="Calibri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中国人民大学学报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》2016年第3期（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总被引频次: 37，总他引频次: 37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 1.8万字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default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论文4：“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论关联企业实质合并破产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中外法学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》2017年第3期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总被引频次: 118， 总他引频次: 118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 2.1万字</w:t>
            </w:r>
          </w:p>
          <w:p>
            <w:pPr>
              <w:tabs>
                <w:tab w:val="left" w:pos="4185"/>
              </w:tabs>
              <w:snapToGrid w:val="0"/>
              <w:ind w:firstLine="420" w:firstLineChars="200"/>
              <w:jc w:val="both"/>
              <w:rPr>
                <w:rFonts w:hint="default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论文5：“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论建立事权与支出责任相适应的法律制度——理论基础与立法路径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清华法学</w:t>
            </w:r>
            <w:r>
              <w:rPr>
                <w:rFonts w:hint="eastAsia" w:ascii="Calibri" w:hAnsi="Calibri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》2014年第5期</w:t>
            </w:r>
            <w:r>
              <w:rPr>
                <w:rFonts w:hint="eastAsia" w:ascii="Calibri" w:hAnsi="Calibri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（总被引频次: 113，总他引频次: 112</w:t>
            </w:r>
            <w:r>
              <w:rPr>
                <w:rFonts w:hint="eastAsia" w:ascii="Calibri" w:hAnsi="Calibri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） 1.9万字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/>
              <w:ind w:firstLine="420" w:firstLineChars="200"/>
              <w:jc w:val="left"/>
              <w:textAlignment w:val="auto"/>
              <w:rPr>
                <w:rFonts w:hint="default" w:ascii="Calibri" w:hAnsi="Calibri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（二）其他成果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1.《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英国个人破产与债务清理制度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》，独著，法律出版社2020年版，29.8万字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eastAsia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2.《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破产法与税法的理念融合及制度衔接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》，第一作者，法律出版社2021年版，34.7万字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3.“个人债务救济与共同富裕目标的实现”，载《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光明日报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》2022年4月20日理论版（3017字）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4.“个人破产立法的理论逻辑与现实进路”，第一作者，载《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中国人民大学学报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》2021年第5期（2.2万字）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5.“破产法视野中的担保物权问题”，独著，载《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中国人民大学学报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》2017年第2期（1.8万字）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6.“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困境企业预重整的法律规制研究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default" w:ascii="Calibri" w:hAnsi="Calibri"/>
                <w:b/>
                <w:bCs/>
                <w:sz w:val="21"/>
                <w:szCs w:val="21"/>
                <w:lang w:val="en-US" w:eastAsia="zh-CN"/>
              </w:rPr>
              <w:t>法商研究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》2021年第3期（2.0万字）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7.“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立法机关参与预算过程的核心权力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default" w:ascii="Calibri" w:hAnsi="Calibri"/>
                <w:b/>
                <w:bCs/>
                <w:sz w:val="21"/>
                <w:szCs w:val="21"/>
                <w:lang w:val="en-US" w:eastAsia="zh-CN"/>
              </w:rPr>
              <w:t>法学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》2011年第11期（1万字）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8.“个人破产立法的英国经验与启示”，独著，载《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法学杂志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》2020年第7期（1.5万字）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9.“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财政转移支付法的公平正义理念解读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default" w:ascii="Calibri" w:hAnsi="Calibri"/>
                <w:b/>
                <w:bCs/>
                <w:sz w:val="21"/>
                <w:szCs w:val="21"/>
                <w:lang w:val="en-US" w:eastAsia="zh-CN"/>
              </w:rPr>
              <w:t>社会科学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》2008年第1期（1.4万字）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10.“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地方财政自主的法治保障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default" w:ascii="Calibri" w:hAnsi="Calibri"/>
                <w:b/>
                <w:bCs/>
                <w:sz w:val="21"/>
                <w:szCs w:val="21"/>
                <w:lang w:val="en-US" w:eastAsia="zh-CN"/>
              </w:rPr>
              <w:t>法学家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》2009年第2期（1.8万字）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11.“预算国家：财政法治的理想”，独著，载《</w:t>
            </w: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环球法律评论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》2009年第3期（1.6万字）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12.“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收入预测与预算法治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——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预决算收入偏差的法律评估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”，独著，载《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社会科学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》2011年第4期（1.5万字）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13.“房地产税制改革的立法考量”，独著，载《税务研究》2011年第4期（1.2万字）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eastAsia" w:ascii="Calibri" w:hAnsi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14.“如何实现‘以支定收’——新《预算法》理财观解读”，独著，载《税务研究》2015年第1期（1.3万字）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15. “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企业拯救文化与破产法律制度的发展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——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基于英国破产制度最新变革的分析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，第一作者，载《山西大学学报（哲学社会科学版）》2021年第1期</w:t>
            </w:r>
            <w:r>
              <w:rPr>
                <w:rFonts w:hint="eastAsia" w:ascii="Calibri" w:hAnsi="Calibri"/>
                <w:sz w:val="21"/>
                <w:szCs w:val="21"/>
                <w:lang w:val="en-US" w:eastAsia="zh-CN"/>
              </w:rPr>
              <w:t>（（1.4万字）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教育部国家级教学成果奖一等奖（2019）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北京市高等教育教学成果奖特等奖（2018）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中国人民大学“杰出学者”（青年学者A岗）（2017）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中国人民大学先进工作者（2011）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中国人民大学十佳班主任（2010）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中国人民大学专业学位研究生教学案例支持计划优秀立项项目（2019）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中国人民大学法学院本科课程教学优秀奖（2019）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中国人民大学法学院优秀法律硕士学位论文指导教师（2016）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中国人民大学法学院岳成奖教金获得者（2011、2014）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中国人民大学国际学院（苏州研究院）优秀工作者（2010）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kern w:val="0"/>
                <w:sz w:val="24"/>
                <w:szCs w:val="24"/>
                <w:lang w:val="en-US" w:eastAsia="zh-CN"/>
              </w:rPr>
              <w:t>中国人民大学法学院教学工作先进个人（2023）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kern w:val="0"/>
                <w:sz w:val="24"/>
                <w:szCs w:val="24"/>
                <w:lang w:val="en-US" w:eastAsia="zh-CN"/>
              </w:rPr>
              <w:t>中国人民大学法学院学生工作先进个人（2023）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default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kern w:val="0"/>
                <w:sz w:val="24"/>
                <w:szCs w:val="24"/>
                <w:lang w:val="en-US" w:eastAsia="zh-CN"/>
              </w:rPr>
              <w:t>中国人民大学法学院智库先进个人（2023）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第六届“董必武青年法学成果奖”提名奖（2018）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第三届首都法学优秀成果奖三等奖（2018）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首届法学博士后科研成果奖三等奖（2013）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北京高校青年英才计划（2013）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北京大学优秀博士后（2009）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北京市社会领域优秀共产党员（中共北京市委社工委 2016）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北京市法治宣传教育先进个人（北京市委全面依法治市委员会 2021）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北京市经济法学优秀成果奖（2011）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300"/>
              <w:jc w:val="left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24"/>
                <w:szCs w:val="24"/>
              </w:rPr>
              <w:t>中国法学会财税法学研究会青年优秀论文一等奖（2009）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A144FEE-3074-427D-83BC-54E69A28A1A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F782B16-BDC4-4E91-8FE3-206DD6624D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9B2A01B8-9D2D-48A4-8EA5-8F412ADBB2D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4518BFD-377F-461F-967A-43ED59AD8F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679B54F-0BE5-47AB-A3FF-91B3D80950F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22904870-9ED3-4EA0-B219-560A77E545F3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7" w:fontKey="{4EB47AB1-47D9-49B8-8801-63FD5516DBF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B0811C53-3CA8-4407-989E-D7F8DBAF6FAE}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9" w:fontKey="{278ECEEB-481B-4270-AF52-DEEDD2ED059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0" w:fontKey="{FAE72232-AD21-4076-A8A8-7579D984309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8D86417"/>
    <w:rsid w:val="11E37793"/>
    <w:rsid w:val="17FB5209"/>
    <w:rsid w:val="1EBD9178"/>
    <w:rsid w:val="1FE53EBF"/>
    <w:rsid w:val="29175814"/>
    <w:rsid w:val="2A875FBB"/>
    <w:rsid w:val="2CEFB339"/>
    <w:rsid w:val="2EFBBC48"/>
    <w:rsid w:val="38833267"/>
    <w:rsid w:val="3B9D0C2F"/>
    <w:rsid w:val="3BBF1B45"/>
    <w:rsid w:val="3DFF8C80"/>
    <w:rsid w:val="3FAC72FC"/>
    <w:rsid w:val="3FDF6C0E"/>
    <w:rsid w:val="3FE95ABC"/>
    <w:rsid w:val="410C0B4D"/>
    <w:rsid w:val="413B7A6D"/>
    <w:rsid w:val="4BE6FC41"/>
    <w:rsid w:val="56EEFD7E"/>
    <w:rsid w:val="57B74E1B"/>
    <w:rsid w:val="591FD8F5"/>
    <w:rsid w:val="5AAC40BB"/>
    <w:rsid w:val="5DD32290"/>
    <w:rsid w:val="5DF46E1D"/>
    <w:rsid w:val="5DFEE7D4"/>
    <w:rsid w:val="5E7D57FB"/>
    <w:rsid w:val="5F3743E3"/>
    <w:rsid w:val="5FAF1449"/>
    <w:rsid w:val="5FBC2178"/>
    <w:rsid w:val="5FEF00F3"/>
    <w:rsid w:val="5FFFF3B8"/>
    <w:rsid w:val="67DF0FF6"/>
    <w:rsid w:val="6F9B4CF3"/>
    <w:rsid w:val="6FAF0381"/>
    <w:rsid w:val="6FFF2EC6"/>
    <w:rsid w:val="73AFDBBB"/>
    <w:rsid w:val="76B8BECC"/>
    <w:rsid w:val="773E8A1D"/>
    <w:rsid w:val="77B66690"/>
    <w:rsid w:val="77B7957D"/>
    <w:rsid w:val="79FD01CE"/>
    <w:rsid w:val="7A8FFAC6"/>
    <w:rsid w:val="7AFB59A5"/>
    <w:rsid w:val="7BB5F0D1"/>
    <w:rsid w:val="7BDFCBFF"/>
    <w:rsid w:val="7CFECE28"/>
    <w:rsid w:val="7DB18C74"/>
    <w:rsid w:val="7DBAEB37"/>
    <w:rsid w:val="7DBF1A34"/>
    <w:rsid w:val="7DEB2C32"/>
    <w:rsid w:val="7DF9A356"/>
    <w:rsid w:val="7DFF523D"/>
    <w:rsid w:val="7E5F3199"/>
    <w:rsid w:val="7EF35ADA"/>
    <w:rsid w:val="7EFC1A43"/>
    <w:rsid w:val="7F7B04A8"/>
    <w:rsid w:val="7F7EF37E"/>
    <w:rsid w:val="7FA5EC14"/>
    <w:rsid w:val="7FBF553C"/>
    <w:rsid w:val="7FD7D6B2"/>
    <w:rsid w:val="7FE76174"/>
    <w:rsid w:val="7FF37BAA"/>
    <w:rsid w:val="937B5ACB"/>
    <w:rsid w:val="9DBC5BFE"/>
    <w:rsid w:val="A52FE2FA"/>
    <w:rsid w:val="A7EB79A2"/>
    <w:rsid w:val="ABC2528A"/>
    <w:rsid w:val="ABFD3B40"/>
    <w:rsid w:val="AE8F304D"/>
    <w:rsid w:val="AFFF087D"/>
    <w:rsid w:val="B76FEED9"/>
    <w:rsid w:val="B7D56515"/>
    <w:rsid w:val="B9EF54B5"/>
    <w:rsid w:val="BC264F10"/>
    <w:rsid w:val="BE3FDE16"/>
    <w:rsid w:val="BEFF65E4"/>
    <w:rsid w:val="D19F3350"/>
    <w:rsid w:val="D7371D03"/>
    <w:rsid w:val="D7FE4373"/>
    <w:rsid w:val="D7FF67C5"/>
    <w:rsid w:val="DBDFCECF"/>
    <w:rsid w:val="DE7F24A6"/>
    <w:rsid w:val="DFAF6C0A"/>
    <w:rsid w:val="E79F0FC0"/>
    <w:rsid w:val="E7AFC8B5"/>
    <w:rsid w:val="E7FBFD3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DE4D0F"/>
    <w:rsid w:val="FBF77622"/>
    <w:rsid w:val="FCD359B3"/>
    <w:rsid w:val="FE7F89ED"/>
    <w:rsid w:val="FEF7F2B9"/>
    <w:rsid w:val="FF5EC873"/>
    <w:rsid w:val="FF5EFE9B"/>
    <w:rsid w:val="FF6D7F3E"/>
    <w:rsid w:val="FF7700D8"/>
    <w:rsid w:val="FF7FE61E"/>
    <w:rsid w:val="FFAD001C"/>
    <w:rsid w:val="FFBEC70F"/>
    <w:rsid w:val="FFBF67D3"/>
    <w:rsid w:val="FFD77033"/>
    <w:rsid w:val="FFDF0FB2"/>
    <w:rsid w:val="FFF78C2C"/>
    <w:rsid w:val="FFFFA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5918</Words>
  <Characters>6368</Characters>
  <Lines>12</Lines>
  <Paragraphs>3</Paragraphs>
  <TotalTime>30</TotalTime>
  <ScaleCrop>false</ScaleCrop>
  <LinksUpToDate>false</LinksUpToDate>
  <CharactersWithSpaces>6496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2022-12-30T11:44:00Z</dcterms:created>
  <dc:creator>fxhuser</dc:creator>
  <cp:lastModifiedBy>执牛耳</cp:lastModifiedBy>
  <cp:lastPrinted>2022-12-30T08:41:00Z</cp:lastPrinted>
  <dcterms:modified xsi:type="dcterms:W3CDTF">2023-04-27T08:43:07Z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56FACA9B3E15428FBB12C149DC8F5E0C</vt:lpwstr>
  </property>
</Properties>
</file>