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ascii="仿宋_GB2312" w:hAnsi="宋体" w:eastAsia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/>
    <w:p/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杨 </w:t>
      </w:r>
      <w:r>
        <w:rPr>
          <w:rFonts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华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上海政法学院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hint="default" w:eastAsia="仿宋_GB2312"/>
          <w:b/>
          <w:bCs/>
          <w:sz w:val="32"/>
          <w:szCs w:val="32"/>
          <w:u w:val="thick"/>
          <w:lang w:eastAsia="zh-Hans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thick"/>
        </w:rPr>
        <w:t xml:space="preserve"> </w:t>
      </w:r>
      <w:r>
        <w:rPr>
          <w:rFonts w:eastAsia="仿宋_GB2312"/>
          <w:b/>
          <w:bCs/>
          <w:sz w:val="32"/>
          <w:szCs w:val="32"/>
          <w:u w:val="thick"/>
        </w:rPr>
        <w:t xml:space="preserve">     </w:t>
      </w:r>
      <w:r>
        <w:rPr>
          <w:rFonts w:hint="default" w:eastAsia="仿宋_GB2312"/>
          <w:b/>
          <w:bCs/>
          <w:sz w:val="32"/>
          <w:szCs w:val="32"/>
          <w:u w:val="thick"/>
        </w:rPr>
        <w:t xml:space="preserve">    </w:t>
      </w:r>
      <w:r>
        <w:rPr>
          <w:rFonts w:hint="eastAsia" w:eastAsia="仿宋_GB2312"/>
          <w:b/>
          <w:bCs/>
          <w:sz w:val="32"/>
          <w:szCs w:val="32"/>
          <w:u w:val="thick"/>
          <w:lang w:val="en-US" w:eastAsia="zh-Hans"/>
        </w:rPr>
        <w:t>上海市法学会</w:t>
      </w:r>
      <w:r>
        <w:rPr>
          <w:rFonts w:hint="default" w:eastAsia="仿宋_GB2312"/>
          <w:b/>
          <w:bCs/>
          <w:sz w:val="32"/>
          <w:szCs w:val="32"/>
          <w:u w:val="thick"/>
          <w:lang w:eastAsia="zh-Hans"/>
        </w:rPr>
        <w:t xml:space="preserve">             </w:t>
      </w:r>
    </w:p>
    <w:p>
      <w:pPr>
        <w:snapToGrid w:val="0"/>
        <w:ind w:firstLine="1908" w:firstLineChars="594"/>
        <w:rPr>
          <w:rFonts w:eastAsia="仿宋_GB2312"/>
          <w:b/>
          <w:bCs/>
          <w:sz w:val="32"/>
          <w:szCs w:val="32"/>
          <w:u w:val="thick"/>
        </w:rPr>
      </w:pPr>
      <w:r>
        <w:rPr>
          <w:rFonts w:hint="default" w:eastAsia="仿宋_GB2312"/>
          <w:b/>
          <w:bCs/>
          <w:sz w:val="32"/>
          <w:szCs w:val="32"/>
          <w:u w:val="thick"/>
          <w:lang w:eastAsia="zh-Hans"/>
        </w:rPr>
        <w:t xml:space="preserve">          </w:t>
      </w:r>
      <w:r>
        <w:rPr>
          <w:rFonts w:hint="eastAsia" w:eastAsia="仿宋_GB2312"/>
          <w:b/>
          <w:bCs/>
          <w:sz w:val="32"/>
          <w:szCs w:val="32"/>
          <w:u w:val="thick"/>
        </w:rPr>
        <w:t>中国海商法协会</w:t>
      </w:r>
      <w:r>
        <w:rPr>
          <w:rFonts w:hint="default" w:eastAsia="仿宋_GB2312"/>
          <w:b/>
          <w:bCs/>
          <w:sz w:val="32"/>
          <w:szCs w:val="32"/>
          <w:u w:val="thick"/>
        </w:rPr>
        <w:t xml:space="preserve">       </w:t>
      </w:r>
      <w:r>
        <w:rPr>
          <w:rFonts w:hint="eastAsia" w:eastAsia="仿宋_GB2312"/>
          <w:b/>
          <w:bCs/>
          <w:sz w:val="32"/>
          <w:szCs w:val="32"/>
          <w:u w:val="thick"/>
        </w:rPr>
        <w:t xml:space="preserve">  </w:t>
      </w:r>
      <w:r>
        <w:rPr>
          <w:rFonts w:eastAsia="仿宋_GB2312"/>
          <w:b/>
          <w:bCs/>
          <w:sz w:val="32"/>
          <w:szCs w:val="32"/>
          <w:u w:val="thick"/>
        </w:rPr>
        <w:t xml:space="preserve">  </w:t>
      </w:r>
    </w:p>
    <w:p>
      <w:pPr>
        <w:snapToGrid w:val="0"/>
        <w:ind w:firstLine="1908" w:firstLineChars="594"/>
        <w:rPr>
          <w:rFonts w:hint="default" w:eastAsia="仿宋_GB2312"/>
          <w:b/>
          <w:bCs/>
          <w:sz w:val="32"/>
          <w:szCs w:val="32"/>
          <w:u w:val="single"/>
          <w:lang w:eastAsia="zh-Hans"/>
        </w:rPr>
      </w:pPr>
      <w:r>
        <w:rPr>
          <w:rFonts w:eastAsia="仿宋_GB2312"/>
          <w:b/>
          <w:bCs/>
          <w:sz w:val="32"/>
          <w:szCs w:val="32"/>
          <w:u w:val="thick"/>
        </w:rPr>
        <w:t xml:space="preserve">  </w:t>
      </w:r>
      <w:r>
        <w:rPr>
          <w:rFonts w:hint="default" w:eastAsia="仿宋_GB2312"/>
          <w:b/>
          <w:bCs/>
          <w:sz w:val="32"/>
          <w:szCs w:val="32"/>
          <w:u w:val="thick"/>
        </w:rPr>
        <w:t xml:space="preserve">        </w:t>
      </w:r>
      <w:r>
        <w:rPr>
          <w:rFonts w:hint="eastAsia" w:eastAsia="仿宋_GB2312"/>
          <w:b/>
          <w:bCs/>
          <w:sz w:val="32"/>
          <w:szCs w:val="32"/>
          <w:u w:val="thick"/>
          <w:lang w:val="en-US" w:eastAsia="zh-Hans"/>
        </w:rPr>
        <w:t>中国海洋法学会</w:t>
      </w:r>
      <w:r>
        <w:rPr>
          <w:rFonts w:hint="default" w:eastAsia="仿宋_GB2312"/>
          <w:b/>
          <w:bCs/>
          <w:sz w:val="32"/>
          <w:szCs w:val="32"/>
          <w:u w:val="thick"/>
          <w:lang w:eastAsia="zh-Hans"/>
        </w:rPr>
        <w:t xml:space="preserve">           </w:t>
      </w: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电子邮箱：qnfxj2022@163.com</w:t>
      </w:r>
    </w:p>
    <w:p>
      <w:pPr>
        <w:rPr>
          <w:rFonts w:ascii="宋体" w:hAnsi="宋体"/>
          <w:b/>
          <w:bCs/>
          <w:color w:val="000000"/>
          <w:sz w:val="24"/>
        </w:rPr>
      </w:pPr>
    </w:p>
    <w:tbl>
      <w:tblPr>
        <w:tblStyle w:val="7"/>
        <w:tblpPr w:leftFromText="180" w:rightFromText="180" w:vertAnchor="text" w:horzAnchor="page" w:tblpX="1717" w:tblpY="-227"/>
        <w:tblOverlap w:val="never"/>
        <w:tblW w:w="9067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67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杨华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男</w:t>
            </w:r>
          </w:p>
        </w:tc>
        <w:tc>
          <w:tcPr>
            <w:tcW w:w="2051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19685</wp:posOffset>
                  </wp:positionV>
                  <wp:extent cx="1236980" cy="1737360"/>
                  <wp:effectExtent l="0" t="0" r="1270" b="0"/>
                  <wp:wrapNone/>
                  <wp:docPr id="2" name="图片 2" descr="F:\简历及照片\0601036杨华照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F:\简历及照片\0601036杨华照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98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1979年1月17日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汉族</w:t>
            </w:r>
          </w:p>
        </w:tc>
        <w:tc>
          <w:tcPr>
            <w:tcW w:w="2051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博士研究生</w:t>
            </w:r>
          </w:p>
        </w:tc>
        <w:tc>
          <w:tcPr>
            <w:tcW w:w="2051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教授/博士生导师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院长</w:t>
            </w:r>
          </w:p>
        </w:tc>
        <w:tc>
          <w:tcPr>
            <w:tcW w:w="2051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上海政法学院人工智能法学院</w:t>
            </w:r>
          </w:p>
        </w:tc>
        <w:tc>
          <w:tcPr>
            <w:tcW w:w="2051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447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上海市外青松公路7989号人工智能法学院主教2</w:t>
            </w:r>
            <w:r>
              <w:rPr>
                <w:rFonts w:ascii="宋体" w:hAnsi="宋体"/>
                <w:b/>
                <w:color w:val="000000"/>
                <w:sz w:val="24"/>
              </w:rPr>
              <w:t>07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67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285"/>
                <w:tab w:val="left" w:pos="4185"/>
                <w:tab w:val="center" w:pos="4452"/>
              </w:tabs>
              <w:adjustRightInd w:val="0"/>
              <w:snapToGrid w:val="0"/>
              <w:jc w:val="center"/>
              <w:rPr>
                <w:rFonts w:ascii="华文中宋" w:hAnsi="华文中宋" w:eastAsia="华文中宋"/>
                <w:b/>
                <w:color w:val="000000"/>
                <w:sz w:val="44"/>
                <w:szCs w:val="44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44"/>
                <w:szCs w:val="44"/>
              </w:rPr>
              <w:t>重要学术成果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楷体"/>
                <w:b/>
                <w:bCs/>
                <w:kern w:val="0"/>
                <w:sz w:val="28"/>
                <w:szCs w:val="28"/>
              </w:rPr>
              <w:t>一、著作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b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楷体"/>
                <w:b/>
                <w:kern w:val="0"/>
                <w:sz w:val="28"/>
                <w:szCs w:val="28"/>
              </w:rPr>
              <w:t>（一）代表性著作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1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.《海洋发展战略中填海造地的法律规制研究》（独著），法律出版社2014年版。获上海市法学优秀成果奖二等奖，第四届董必武青年法学优秀成果奖提名奖。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2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.《生态文明的法治路径》（独著），中国政法大学出版社2019年版。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b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楷体"/>
                <w:b/>
                <w:kern w:val="0"/>
                <w:sz w:val="28"/>
                <w:szCs w:val="28"/>
              </w:rPr>
              <w:t>（二）其他著作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1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.《海洋法治发展报告2015》（主编），法律出版社2015年版，主编。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2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.《中国海洋战略研究文集（第2辑）》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，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法律出版社出版2019年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版，主编。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3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.《废弃物国际贸易的风险及法律控制》,复旦大学出版社2011年版，独著。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4.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《人工智能法治应用》，上海人民出版社2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021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年版，主编。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5.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《人工智能辅助办案》，上海人民出版社2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021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年版，副主编。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6.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《填海造地法律法规全书》，复旦大学出版社2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013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年版，副主编。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楷体"/>
                <w:b/>
                <w:bCs/>
                <w:kern w:val="0"/>
                <w:sz w:val="28"/>
                <w:szCs w:val="28"/>
              </w:rPr>
              <w:t>二、论文</w:t>
            </w:r>
            <w:r>
              <w:rPr>
                <w:rFonts w:hint="eastAsia" w:ascii="华文楷体" w:hAnsi="华文楷体" w:eastAsia="华文楷体" w:cs="楷体"/>
                <w:bCs/>
                <w:kern w:val="0"/>
                <w:sz w:val="28"/>
                <w:szCs w:val="28"/>
              </w:rPr>
              <w:t>（除标明外，均为独著）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楷体"/>
                <w:b/>
                <w:bCs/>
                <w:kern w:val="0"/>
                <w:sz w:val="28"/>
                <w:szCs w:val="28"/>
              </w:rPr>
              <w:t>（一）代表性论文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1.《海洋法权论》，</w:t>
            </w:r>
            <w:r>
              <w:rPr>
                <w:rFonts w:hint="eastAsia" w:ascii="华文楷体" w:hAnsi="华文楷体" w:eastAsia="华文楷体" w:cs="楷体"/>
                <w:b/>
                <w:kern w:val="0"/>
                <w:sz w:val="28"/>
                <w:szCs w:val="28"/>
              </w:rPr>
              <w:t>《中国社会科学》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2017年第9期；《高等学校文科学术文摘》2017年第6期全文转载；《人大复印资料·</w:t>
            </w:r>
            <w:r>
              <w:rPr>
                <w:rFonts w:hint="eastAsia" w:ascii="华文楷体" w:hAnsi="华文楷体" w:eastAsia="华文楷体" w:cs="楷体"/>
                <w:sz w:val="28"/>
                <w:szCs w:val="28"/>
              </w:rPr>
              <w:t>民商法学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》2018年第1期全文复印。被引2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9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次。此文具有一定的理论原创性，在国际法学、海洋法学领域产生一定的影响力。此文曾获得董必武青年法学成果一等奖、上海市哲社成果奖一等奖、钱端升法学成果奖二等奖等奖项。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2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.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《中国参与极地全球治理的法治构建》，</w:t>
            </w:r>
            <w:r>
              <w:rPr>
                <w:rFonts w:hint="eastAsia" w:ascii="华文楷体" w:hAnsi="华文楷体" w:eastAsia="华文楷体" w:cs="楷体"/>
                <w:b/>
                <w:kern w:val="0"/>
                <w:sz w:val="28"/>
                <w:szCs w:val="28"/>
              </w:rPr>
              <w:t>《中国法学》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2020年第6期；《高等学校文科学术文摘》2017年第6期全文转载。被引9次。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3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.《The Legal Regulation on Land Reclamation in China’s Coastal Area》，</w:t>
            </w:r>
            <w:r>
              <w:rPr>
                <w:rFonts w:hint="eastAsia" w:ascii="华文楷体" w:hAnsi="华文楷体" w:eastAsia="华文楷体" w:cs="楷体"/>
                <w:b/>
                <w:kern w:val="0"/>
                <w:sz w:val="28"/>
                <w:szCs w:val="28"/>
              </w:rPr>
              <w:t>《Coastal Management》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（SSCI期刊）2014年第1期。被引1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0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次。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b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楷体"/>
                <w:b/>
                <w:kern w:val="0"/>
                <w:sz w:val="28"/>
                <w:szCs w:val="28"/>
              </w:rPr>
              <w:t>（二）其他论文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4.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《海洋基本法的立法定位与体系结构》，</w:t>
            </w:r>
            <w:r>
              <w:rPr>
                <w:rFonts w:hint="eastAsia" w:ascii="华文楷体" w:hAnsi="华文楷体" w:eastAsia="华文楷体" w:cs="楷体"/>
                <w:b/>
                <w:kern w:val="0"/>
                <w:sz w:val="28"/>
                <w:szCs w:val="28"/>
              </w:rPr>
              <w:t>《东方法学》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2021年第1期。人民日报客户端2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021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年1月1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1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日全文报道；被引1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2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次。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5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.《围海造地过程中的权利承接及其法律规制》，</w:t>
            </w:r>
            <w:r>
              <w:rPr>
                <w:rFonts w:hint="eastAsia" w:ascii="华文楷体" w:hAnsi="华文楷体" w:eastAsia="华文楷体" w:cs="楷体"/>
                <w:b/>
                <w:kern w:val="0"/>
                <w:sz w:val="28"/>
                <w:szCs w:val="28"/>
              </w:rPr>
              <w:t>《法学》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2010年第7期；第一作者。《中国社会科学文摘》2010年第12期全文转载；《人大复印资料·</w:t>
            </w:r>
            <w:r>
              <w:rPr>
                <w:rFonts w:hint="eastAsia" w:ascii="华文楷体" w:hAnsi="华文楷体" w:eastAsia="华文楷体" w:cs="楷体"/>
                <w:sz w:val="28"/>
                <w:szCs w:val="28"/>
              </w:rPr>
              <w:t>民商法学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》2010年第11期全文复印。被引2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8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次。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6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.《海洋环境公益诉讼主体论》，</w:t>
            </w:r>
            <w:r>
              <w:rPr>
                <w:rFonts w:hint="eastAsia" w:ascii="华文楷体" w:hAnsi="华文楷体" w:eastAsia="华文楷体" w:cs="楷体"/>
                <w:b/>
                <w:kern w:val="0"/>
                <w:sz w:val="28"/>
                <w:szCs w:val="28"/>
              </w:rPr>
              <w:t>《法商研究》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2021年第3期。被引1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3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次。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7.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《海域使用权变更为土地使用权：实践及规制》，</w:t>
            </w:r>
            <w:r>
              <w:rPr>
                <w:rFonts w:hint="eastAsia" w:ascii="华文楷体" w:hAnsi="华文楷体" w:eastAsia="华文楷体" w:cs="楷体"/>
                <w:b/>
                <w:kern w:val="0"/>
                <w:sz w:val="28"/>
                <w:szCs w:val="28"/>
              </w:rPr>
              <w:t>《法商研究》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2011年第3期.被引1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9次。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8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.《</w:t>
            </w:r>
            <w:r>
              <w:rPr>
                <w:rFonts w:hint="eastAsia" w:ascii="华文楷体" w:hAnsi="华文楷体" w:eastAsia="华文楷体" w:cs="楷体"/>
                <w:sz w:val="28"/>
                <w:szCs w:val="28"/>
              </w:rPr>
              <w:t>维护海洋权益离不开海洋立法》，</w:t>
            </w:r>
            <w:r>
              <w:rPr>
                <w:rFonts w:hint="eastAsia" w:ascii="华文楷体" w:hAnsi="华文楷体" w:eastAsia="华文楷体" w:cs="楷体"/>
                <w:b/>
                <w:kern w:val="0"/>
                <w:sz w:val="28"/>
                <w:szCs w:val="28"/>
              </w:rPr>
              <w:t>《新华文摘》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2015年第17期。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9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.《香港填海造地法律实践对内地的启示》，</w:t>
            </w:r>
            <w:r>
              <w:rPr>
                <w:rFonts w:hint="eastAsia" w:ascii="华文楷体" w:hAnsi="华文楷体" w:eastAsia="华文楷体" w:cs="楷体"/>
                <w:b/>
                <w:kern w:val="0"/>
                <w:sz w:val="28"/>
                <w:szCs w:val="28"/>
              </w:rPr>
              <w:t>《法学》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2013年第1期。被引1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4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次。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10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.《论废弃物国际贸易损害性后果与国家赔偿责任机制》，</w:t>
            </w:r>
            <w:r>
              <w:rPr>
                <w:rFonts w:hint="eastAsia" w:ascii="华文楷体" w:hAnsi="华文楷体" w:eastAsia="华文楷体" w:cs="楷体"/>
                <w:b/>
                <w:kern w:val="0"/>
                <w:sz w:val="28"/>
                <w:szCs w:val="28"/>
              </w:rPr>
              <w:t>《政治与法律》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2007年第2期。被引4次。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1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1.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《人脸是信息保护的规范构建》，</w:t>
            </w:r>
            <w:r>
              <w:rPr>
                <w:rFonts w:hint="eastAsia" w:ascii="华文楷体" w:hAnsi="华文楷体" w:eastAsia="华文楷体" w:cs="楷体"/>
                <w:b/>
                <w:kern w:val="0"/>
                <w:sz w:val="28"/>
                <w:szCs w:val="28"/>
              </w:rPr>
              <w:t>《华东政法大学学报》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2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023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年第2期。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12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.《我国农村土地流转法律制度的困局及其出路》，</w:t>
            </w:r>
            <w:r>
              <w:rPr>
                <w:rFonts w:hint="eastAsia" w:ascii="华文楷体" w:hAnsi="华文楷体" w:eastAsia="华文楷体" w:cs="楷体"/>
                <w:b/>
                <w:kern w:val="0"/>
                <w:sz w:val="28"/>
                <w:szCs w:val="28"/>
              </w:rPr>
              <w:t>《法学杂志》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2010年第7期。被引2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8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次。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13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.《废弃物贸易国家赔偿责任的法哲学基础》，</w:t>
            </w:r>
            <w:r>
              <w:rPr>
                <w:rFonts w:hint="eastAsia" w:ascii="华文楷体" w:hAnsi="华文楷体" w:eastAsia="华文楷体" w:cs="楷体"/>
                <w:b/>
                <w:kern w:val="0"/>
                <w:sz w:val="28"/>
                <w:szCs w:val="28"/>
              </w:rPr>
              <w:t>《法学杂志》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2009年第5期。被引2次。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14.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《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论中国渔业权的权利冲突及其制度完善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》，</w:t>
            </w:r>
            <w:r>
              <w:rPr>
                <w:rFonts w:hint="eastAsia" w:ascii="华文楷体" w:hAnsi="华文楷体" w:eastAsia="华文楷体" w:cs="楷体"/>
                <w:b/>
                <w:kern w:val="0"/>
                <w:sz w:val="28"/>
                <w:szCs w:val="28"/>
              </w:rPr>
              <w:t>《江汉论坛》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2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022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年第1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2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期。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1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5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.《海洋战略中我国南海填海造地的国际法分析》，</w:t>
            </w:r>
            <w:r>
              <w:rPr>
                <w:rFonts w:hint="eastAsia" w:ascii="华文楷体" w:hAnsi="华文楷体" w:eastAsia="华文楷体" w:cs="楷体"/>
                <w:b/>
                <w:kern w:val="0"/>
                <w:sz w:val="28"/>
                <w:szCs w:val="28"/>
              </w:rPr>
              <w:t>《社会科学战线》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2016年第12期。被引6次。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1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6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.《论我国资源围填问题的权利规制》，</w:t>
            </w:r>
            <w:r>
              <w:rPr>
                <w:rFonts w:hint="eastAsia" w:ascii="华文楷体" w:hAnsi="华文楷体" w:eastAsia="华文楷体" w:cs="楷体"/>
                <w:b/>
                <w:kern w:val="0"/>
                <w:sz w:val="28"/>
                <w:szCs w:val="28"/>
              </w:rPr>
              <w:t>《社会科学战线》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2014年第8期。被引1次。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1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7.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《民间资本填海造地权证转化的法律问题及其对策》，《河南财经政法大学学报》2014年第3期。被引7次。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1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8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.《生物多样性适应气候变化法律问题初探》，</w:t>
            </w:r>
            <w:r>
              <w:rPr>
                <w:rFonts w:hint="eastAsia" w:ascii="华文楷体" w:hAnsi="华文楷体" w:eastAsia="华文楷体" w:cs="楷体"/>
                <w:b/>
                <w:kern w:val="0"/>
                <w:sz w:val="28"/>
                <w:szCs w:val="28"/>
              </w:rPr>
              <w:t>《江西社会科学》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2011年第3期。被引6次。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1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9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.《农村宅基地流转与小产权房的困境及出路》，</w:t>
            </w:r>
            <w:r>
              <w:rPr>
                <w:rFonts w:hint="eastAsia" w:ascii="华文楷体" w:hAnsi="华文楷体" w:eastAsia="华文楷体" w:cs="楷体"/>
                <w:b/>
                <w:kern w:val="0"/>
                <w:sz w:val="28"/>
                <w:szCs w:val="28"/>
              </w:rPr>
              <w:t>《探索与争鸣》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2010年第8期。被引2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5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次。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20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.《检察机关提起环境民事公益诉讼的法律障碍分析》，</w:t>
            </w:r>
            <w:r>
              <w:rPr>
                <w:rFonts w:hint="eastAsia" w:ascii="华文楷体" w:hAnsi="华文楷体" w:eastAsia="华文楷体" w:cs="楷体"/>
                <w:b/>
                <w:kern w:val="0"/>
                <w:sz w:val="28"/>
                <w:szCs w:val="28"/>
              </w:rPr>
              <w:t>《广东社会科学》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2010年第6期。被引3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4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次。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21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.《环境法庭设立的实然性与应然性分析》，</w:t>
            </w:r>
            <w:r>
              <w:rPr>
                <w:rFonts w:hint="eastAsia" w:ascii="华文楷体" w:hAnsi="华文楷体" w:eastAsia="华文楷体" w:cs="楷体"/>
                <w:b/>
                <w:kern w:val="0"/>
                <w:sz w:val="28"/>
                <w:szCs w:val="28"/>
              </w:rPr>
              <w:t>《江西社会科学》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2009年第3期。被引3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3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次。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22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.《透视废弃物国际贸易问题》,</w:t>
            </w:r>
            <w:r>
              <w:rPr>
                <w:rFonts w:hint="eastAsia" w:ascii="华文楷体" w:hAnsi="华文楷体" w:eastAsia="华文楷体" w:cs="楷体"/>
                <w:b/>
                <w:kern w:val="0"/>
                <w:sz w:val="28"/>
                <w:szCs w:val="28"/>
              </w:rPr>
              <w:t>《环境保护》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2009年第9B期。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被引13次。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2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3.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《环境思潮的历史演进》，</w:t>
            </w:r>
            <w:r>
              <w:rPr>
                <w:rFonts w:hint="eastAsia" w:ascii="华文楷体" w:hAnsi="华文楷体" w:eastAsia="华文楷体" w:cs="楷体"/>
                <w:b/>
                <w:kern w:val="0"/>
                <w:sz w:val="28"/>
                <w:szCs w:val="28"/>
              </w:rPr>
              <w:t>《生态经济》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2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009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年第1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0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期。被引1次。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24.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《生态环境的保护与刑法功能完善》，</w:t>
            </w:r>
            <w:r>
              <w:rPr>
                <w:rFonts w:hint="eastAsia" w:ascii="华文楷体" w:hAnsi="华文楷体" w:eastAsia="华文楷体" w:cs="楷体"/>
                <w:b/>
                <w:kern w:val="0"/>
                <w:sz w:val="28"/>
                <w:szCs w:val="28"/>
              </w:rPr>
              <w:t>《云南民族大学学报》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200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8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年第2期。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被引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2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3次。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2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5.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《合作与牵制：气候变化的国际法律机制及其应对》，《河北法学》2008年第5期。被引1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3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次。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2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6.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《全球控制废弃物国际贸易的法理分析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》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，</w:t>
            </w:r>
            <w:r>
              <w:rPr>
                <w:rFonts w:hint="eastAsia" w:ascii="华文楷体" w:hAnsi="华文楷体" w:eastAsia="华文楷体" w:cs="楷体"/>
                <w:b/>
                <w:kern w:val="0"/>
                <w:sz w:val="28"/>
                <w:szCs w:val="28"/>
              </w:rPr>
              <w:t>《江西社会科学》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2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007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年第1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0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期。被引2次。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27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.《问题与前瞻：入世后我国的环境法制》，</w:t>
            </w:r>
            <w:r>
              <w:rPr>
                <w:rFonts w:hint="eastAsia" w:ascii="华文楷体" w:hAnsi="华文楷体" w:eastAsia="华文楷体" w:cs="楷体"/>
                <w:b/>
                <w:kern w:val="0"/>
                <w:sz w:val="28"/>
                <w:szCs w:val="28"/>
              </w:rPr>
              <w:t>《环境保护》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2007年第8A期。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28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.《贸易与环境关系的冲突与协调》，</w:t>
            </w:r>
            <w:r>
              <w:rPr>
                <w:rFonts w:hint="eastAsia" w:ascii="华文楷体" w:hAnsi="华文楷体" w:eastAsia="华文楷体" w:cs="楷体"/>
                <w:b/>
                <w:kern w:val="0"/>
                <w:sz w:val="28"/>
                <w:szCs w:val="28"/>
              </w:rPr>
              <w:t>《云南民族大学学报》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2007年第1期。被引1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0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次。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29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.《新&lt;企业破产法&gt;的修改完善及破产审理面临的挑战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》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，</w:t>
            </w:r>
            <w:r>
              <w:rPr>
                <w:rFonts w:hint="eastAsia" w:ascii="华文楷体" w:hAnsi="华文楷体" w:eastAsia="华文楷体" w:cs="楷体"/>
                <w:b/>
                <w:kern w:val="0"/>
                <w:sz w:val="28"/>
                <w:szCs w:val="28"/>
              </w:rPr>
              <w:t>《特区经济》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2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007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年第4期。第一作者。被引3次。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30.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《个人作为国际法主体新探》，</w:t>
            </w:r>
            <w:r>
              <w:rPr>
                <w:rFonts w:hint="eastAsia" w:ascii="华文楷体" w:hAnsi="华文楷体" w:eastAsia="华文楷体" w:cs="楷体"/>
                <w:b/>
                <w:kern w:val="0"/>
                <w:sz w:val="28"/>
                <w:szCs w:val="28"/>
              </w:rPr>
              <w:t>《法学杂志》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2005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年第1期。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b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楷体"/>
                <w:b/>
                <w:kern w:val="0"/>
                <w:sz w:val="28"/>
                <w:szCs w:val="28"/>
              </w:rPr>
              <w:t>三、主持课题研究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1.国家社科基金重大项目，海洋渔业资源开发利用和保护的国内外法律规制比较研究（19VHQ015）,2019.10-2022.1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2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，结项中。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2.国家社科基金重点项目，我国南海权益维护和生态环境保护问题研究（16AZD026），2016.11-2019.5，已结项。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3.国家社科基金一般项目，海洋强国战略背景下中国《海洋基本法》立法宗旨及其相关问题研究（19BFX199），2019.7-2021.12，已结项。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4. 国家社科基金青年项目，海洋发展战略中填海造地的法律规制研究（12CFX096），2012.5-2014.6，已结项。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5.国家社科基金青年项目，废弃物国际贸易的风险防范及法律规制（07CFX026），2007.6-2010.8，已结项。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6.国家社科基金重大项目子项目，以实体法基础构建争端解决与合作机制，重大项目名称为“海洋命运共同体视野下的中国海洋权益维护研究”（19VHQ009），2019.10-2022.10，已结项。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7.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国家社科基金重大项目子项目，中国推动全球海上公共卫生安全治理体系完善及战略利益保障，重大项目名称为“全球海上公共卫生安全治理体系完善研究”（20VHQ013），2021.3-2024.12，在研。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8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.挪威国家课题（国际合作课题），Chinese adaptive water resource for climate change（220515/F11/ana），2012.8-2013.8，已结项。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9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.全国博管委特别资助项目，填海造地的法律规制研究：以权利转换为中心，2011.4-2012.12，已结项。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10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.全国博管委一般资助项目，海域围填的法律规制研究，2010.4-2011.4，已结项。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11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.教育部项目，废弃物贸易的风险及其法律控制，2006.12-2010.9，已结项。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12.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上海市决策咨询课题，人工智能的地方立法研究（2020-Z-B06），2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020.3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-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2020.12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，结项。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1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3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.上海市项目，上海市市级精品课程《自然资源法学》（沪教委高〔2014〕19 号），2014.8-2016.8，已完成。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14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.上海市浦江人才计划，深海资源勘探开发立法研究，2014.9-2016.9，已完成。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1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5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.上海市曙光人才计划，海洋气候变化与我国面临的挑战，2010.1-2012.12，已结项。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1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6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.上海市晨光人才计划，新型环境污染法律问题研究，2007.1-2010.10，已结项。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1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7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.上海海事局委托项目，海事违法案件移送规范，2015.6-2015.9，已结项。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1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8.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上海市教育法学人才项目，“人工智能+法学”复合型人才培养模式探索，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2020JYFXR049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，上海市教委，2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020.1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-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2020.12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，已结项。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19.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上海市教育法学人才项目，“面向未来的人工智能法学人才培养模式研究，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2021JYFXR049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，上海市教委，2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021.1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-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2022.12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，已结项。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20.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上海市市级新文科研究与改革实践项目，人工智能法学新文科建设实践，沪教委高[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2021]25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号，2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021.5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-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2023.12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，进行中。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0" w:firstLineChars="100"/>
              <w:jc w:val="left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21.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上海市高校内涵智库建设项目，人工智能相关法律问题研究，20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20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.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1-2020.12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，已结项。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3" w:hRule="atLeast"/>
        </w:trPr>
        <w:tc>
          <w:tcPr>
            <w:tcW w:w="9067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/>
              <w:tabs>
                <w:tab w:val="left" w:pos="4185"/>
              </w:tabs>
              <w:snapToGrid w:val="0"/>
              <w:jc w:val="center"/>
              <w:rPr>
                <w:rFonts w:ascii="华文中宋" w:hAnsi="华文中宋" w:eastAsia="华文中宋" w:cs="Arial"/>
                <w:b/>
                <w:kern w:val="0"/>
                <w:sz w:val="44"/>
                <w:szCs w:val="44"/>
              </w:rPr>
            </w:pPr>
            <w:r>
              <w:rPr>
                <w:rFonts w:ascii="华文中宋" w:hAnsi="华文中宋" w:eastAsia="华文中宋" w:cs="Arial"/>
                <w:b/>
                <w:kern w:val="0"/>
                <w:sz w:val="44"/>
                <w:szCs w:val="44"/>
              </w:rPr>
              <w:t>获得奖项</w:t>
            </w:r>
            <w:r>
              <w:rPr>
                <w:rFonts w:hint="eastAsia" w:ascii="华文中宋" w:hAnsi="华文中宋" w:eastAsia="华文中宋" w:cs="Arial"/>
                <w:b/>
                <w:kern w:val="0"/>
                <w:sz w:val="44"/>
                <w:szCs w:val="44"/>
              </w:rPr>
              <w:t>和表彰</w:t>
            </w:r>
          </w:p>
          <w:p>
            <w:pPr>
              <w:keepNext/>
              <w:tabs>
                <w:tab w:val="left" w:pos="4185"/>
              </w:tabs>
              <w:snapToGrid w:val="0"/>
              <w:jc w:val="center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keepNext/>
              <w:tabs>
                <w:tab w:val="left" w:pos="4185"/>
              </w:tabs>
              <w:snapToGrid w:val="0"/>
              <w:jc w:val="left"/>
              <w:rPr>
                <w:rFonts w:ascii="华文楷体" w:hAnsi="华文楷体" w:eastAsia="华文楷体" w:cs="楷体"/>
                <w:b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楷体"/>
                <w:b/>
                <w:kern w:val="0"/>
                <w:sz w:val="28"/>
                <w:szCs w:val="28"/>
              </w:rPr>
              <w:t>学术荣誉表彰类</w:t>
            </w:r>
          </w:p>
          <w:p>
            <w:pPr>
              <w:keepNext/>
              <w:tabs>
                <w:tab w:val="left" w:pos="4185"/>
              </w:tabs>
              <w:snapToGrid w:val="0"/>
              <w:spacing w:line="235" w:lineRule="auto"/>
              <w:ind w:firstLine="560" w:firstLineChars="2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1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.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第九届全国杰出青年法学家提名奖（2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020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），党中央批准设立的重大奖项；</w:t>
            </w:r>
          </w:p>
          <w:p>
            <w:pPr>
              <w:keepNext/>
              <w:tabs>
                <w:tab w:val="left" w:pos="4185"/>
              </w:tabs>
              <w:snapToGrid w:val="0"/>
              <w:spacing w:line="235" w:lineRule="auto"/>
              <w:ind w:firstLine="560" w:firstLineChars="2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2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.第六届上海市优秀中青年法学家(2015)，省部级；</w:t>
            </w:r>
          </w:p>
          <w:p>
            <w:pPr>
              <w:keepNext/>
              <w:tabs>
                <w:tab w:val="left" w:pos="4185"/>
              </w:tabs>
              <w:snapToGrid w:val="0"/>
              <w:spacing w:line="235" w:lineRule="auto"/>
              <w:ind w:firstLine="560" w:firstLineChars="2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3.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上海市2018年度十大社科新人（2018），省部级；</w:t>
            </w:r>
          </w:p>
          <w:p>
            <w:pPr>
              <w:keepNext/>
              <w:tabs>
                <w:tab w:val="left" w:pos="4185"/>
              </w:tabs>
              <w:snapToGrid w:val="0"/>
              <w:spacing w:line="235" w:lineRule="auto"/>
              <w:ind w:firstLine="560" w:firstLineChars="2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4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.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全国宝钢优秀教师奖(2015) ，省部级；</w:t>
            </w:r>
          </w:p>
          <w:p>
            <w:pPr>
              <w:keepNext/>
              <w:tabs>
                <w:tab w:val="left" w:pos="4185"/>
              </w:tabs>
              <w:snapToGrid w:val="0"/>
              <w:spacing w:line="235" w:lineRule="auto"/>
              <w:ind w:firstLine="560" w:firstLineChars="2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5.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上海市司法行政系统个人三等功（2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010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），厅局级；</w:t>
            </w:r>
          </w:p>
          <w:p>
            <w:pPr>
              <w:keepNext/>
              <w:tabs>
                <w:tab w:val="left" w:pos="4185"/>
              </w:tabs>
              <w:snapToGrid w:val="0"/>
              <w:spacing w:line="235" w:lineRule="auto"/>
              <w:ind w:firstLine="560" w:firstLineChars="2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6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.上海市司法行政系统新长征突击手(2009)，厅局级；</w:t>
            </w:r>
          </w:p>
          <w:p>
            <w:pPr>
              <w:keepNext/>
              <w:tabs>
                <w:tab w:val="left" w:pos="4185"/>
              </w:tabs>
              <w:snapToGrid w:val="0"/>
              <w:spacing w:line="235" w:lineRule="auto"/>
              <w:ind w:firstLine="560" w:firstLineChars="2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7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.上海市司法行政系统先进个人(2008)，厅局级；</w:t>
            </w:r>
          </w:p>
          <w:p>
            <w:pPr>
              <w:keepNext/>
              <w:tabs>
                <w:tab w:val="left" w:pos="4185"/>
              </w:tabs>
              <w:snapToGrid w:val="0"/>
              <w:spacing w:line="235" w:lineRule="auto"/>
              <w:ind w:firstLine="560" w:firstLineChars="2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8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.上海市司法行政系统个人三等功(2008)，厅局级；</w:t>
            </w:r>
          </w:p>
          <w:p>
            <w:pPr>
              <w:keepNext/>
              <w:tabs>
                <w:tab w:val="left" w:pos="4185"/>
              </w:tabs>
              <w:snapToGrid w:val="0"/>
              <w:spacing w:line="235" w:lineRule="auto"/>
              <w:ind w:firstLine="560" w:firstLineChars="2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9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.上海政法学院先进个人(2009/2010/2013)，厅局级。</w:t>
            </w:r>
          </w:p>
          <w:p>
            <w:pPr>
              <w:keepNext/>
              <w:tabs>
                <w:tab w:val="left" w:pos="4185"/>
              </w:tabs>
              <w:snapToGrid w:val="0"/>
              <w:spacing w:line="235" w:lineRule="auto"/>
              <w:jc w:val="left"/>
              <w:rPr>
                <w:rFonts w:ascii="华文楷体" w:hAnsi="华文楷体" w:eastAsia="华文楷体" w:cs="楷体"/>
                <w:b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楷体"/>
                <w:b/>
                <w:kern w:val="0"/>
                <w:sz w:val="28"/>
                <w:szCs w:val="28"/>
              </w:rPr>
              <w:t>学术成果奖类</w:t>
            </w:r>
          </w:p>
          <w:p>
            <w:pPr>
              <w:keepNext/>
              <w:tabs>
                <w:tab w:val="left" w:pos="4185"/>
              </w:tabs>
              <w:snapToGrid w:val="0"/>
              <w:spacing w:line="235" w:lineRule="auto"/>
              <w:ind w:firstLine="560" w:firstLineChars="2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1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.第七届董必武青年法学成果奖一等奖（2019），省部级；</w:t>
            </w:r>
          </w:p>
          <w:p>
            <w:pPr>
              <w:keepNext/>
              <w:tabs>
                <w:tab w:val="left" w:pos="4185"/>
              </w:tabs>
              <w:snapToGrid w:val="0"/>
              <w:spacing w:line="235" w:lineRule="auto"/>
              <w:ind w:firstLine="560" w:firstLineChars="2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2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.第十四届上海市哲学社会科学优秀成果奖一等奖（2018），省部级；</w:t>
            </w:r>
          </w:p>
          <w:p>
            <w:pPr>
              <w:keepNext/>
              <w:tabs>
                <w:tab w:val="left" w:pos="4185"/>
              </w:tabs>
              <w:snapToGrid w:val="0"/>
              <w:spacing w:line="235" w:lineRule="auto"/>
              <w:ind w:firstLine="560" w:firstLineChars="2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3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.第八届钱端升法学优秀成果奖二等奖（2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022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），省部级；</w:t>
            </w:r>
          </w:p>
          <w:p>
            <w:pPr>
              <w:keepNext/>
              <w:tabs>
                <w:tab w:val="left" w:pos="4185"/>
              </w:tabs>
              <w:snapToGrid w:val="0"/>
              <w:spacing w:line="235" w:lineRule="auto"/>
              <w:ind w:firstLine="560" w:firstLineChars="2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4.第十三届上海市哲学社会科学优秀成果奖二等奖(2016) ，省部级；</w:t>
            </w:r>
          </w:p>
          <w:p>
            <w:pPr>
              <w:keepNext/>
              <w:tabs>
                <w:tab w:val="left" w:pos="4185"/>
              </w:tabs>
              <w:snapToGrid w:val="0"/>
              <w:spacing w:line="235" w:lineRule="auto"/>
              <w:ind w:firstLine="560" w:firstLineChars="2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5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.第十二届上海市决策咨询研究成果奖三等奖（2019），省部级；</w:t>
            </w:r>
          </w:p>
          <w:p>
            <w:pPr>
              <w:keepNext/>
              <w:tabs>
                <w:tab w:val="left" w:pos="4185"/>
              </w:tabs>
              <w:snapToGrid w:val="0"/>
              <w:spacing w:line="235" w:lineRule="auto"/>
              <w:ind w:firstLine="560" w:firstLineChars="2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7.第四届全国董必武青年法学优秀成果奖提名奖(2016) ，省部级；</w:t>
            </w:r>
          </w:p>
          <w:p>
            <w:pPr>
              <w:keepNext/>
              <w:tabs>
                <w:tab w:val="left" w:pos="4185"/>
              </w:tabs>
              <w:snapToGrid w:val="0"/>
              <w:spacing w:line="235" w:lineRule="auto"/>
              <w:ind w:firstLine="560" w:firstLineChars="2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8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.上海2018年度十大推介论文（2018），厅局级；</w:t>
            </w:r>
          </w:p>
          <w:p>
            <w:pPr>
              <w:keepNext/>
              <w:tabs>
                <w:tab w:val="left" w:pos="4185"/>
              </w:tabs>
              <w:snapToGrid w:val="0"/>
              <w:spacing w:line="235" w:lineRule="auto"/>
              <w:ind w:firstLine="560" w:firstLineChars="2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9.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第三届上海市法学优秀成果二等奖(2016) ，厅局级；</w:t>
            </w:r>
          </w:p>
          <w:p>
            <w:pPr>
              <w:keepNext/>
              <w:tabs>
                <w:tab w:val="left" w:pos="4185"/>
              </w:tabs>
              <w:snapToGrid w:val="0"/>
              <w:spacing w:line="235" w:lineRule="auto"/>
              <w:ind w:firstLine="560" w:firstLineChars="2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10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.第二届上海市法学优秀成果三等奖(2010)，厅局级；</w:t>
            </w:r>
          </w:p>
          <w:p>
            <w:pPr>
              <w:keepNext/>
              <w:tabs>
                <w:tab w:val="left" w:pos="4185"/>
              </w:tabs>
              <w:snapToGrid w:val="0"/>
              <w:spacing w:line="235" w:lineRule="auto"/>
              <w:ind w:firstLine="560" w:firstLineChars="2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11.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上海政法学院首届校长奖（2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020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），厅局级；</w:t>
            </w:r>
          </w:p>
          <w:p>
            <w:pPr>
              <w:keepNext/>
              <w:tabs>
                <w:tab w:val="left" w:pos="4185"/>
              </w:tabs>
              <w:snapToGrid w:val="0"/>
              <w:spacing w:line="235" w:lineRule="auto"/>
              <w:ind w:firstLine="560" w:firstLineChars="2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12.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上海政法学院首届学术精英（2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022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），厅局级。</w:t>
            </w:r>
          </w:p>
          <w:p>
            <w:pPr>
              <w:keepNext/>
              <w:tabs>
                <w:tab w:val="left" w:pos="4185"/>
              </w:tabs>
              <w:snapToGrid w:val="0"/>
              <w:spacing w:line="235" w:lineRule="auto"/>
              <w:jc w:val="left"/>
              <w:rPr>
                <w:rFonts w:ascii="华文楷体" w:hAnsi="华文楷体" w:eastAsia="华文楷体" w:cs="楷体"/>
                <w:b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楷体"/>
                <w:b/>
                <w:kern w:val="0"/>
                <w:sz w:val="28"/>
                <w:szCs w:val="28"/>
              </w:rPr>
              <w:t>人才计划类</w:t>
            </w:r>
          </w:p>
          <w:p>
            <w:pPr>
              <w:keepNext/>
              <w:tabs>
                <w:tab w:val="left" w:pos="4185"/>
              </w:tabs>
              <w:snapToGrid w:val="0"/>
              <w:spacing w:line="235" w:lineRule="auto"/>
              <w:ind w:firstLine="560" w:firstLineChars="2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1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.上海市东方学者（2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022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），省部级；</w:t>
            </w:r>
          </w:p>
          <w:p>
            <w:pPr>
              <w:keepNext/>
              <w:tabs>
                <w:tab w:val="left" w:pos="4185"/>
              </w:tabs>
              <w:snapToGrid w:val="0"/>
              <w:spacing w:line="235" w:lineRule="auto"/>
              <w:ind w:firstLine="560" w:firstLineChars="2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2.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上海市曙光学者(2009)，省部级；</w:t>
            </w:r>
          </w:p>
          <w:p>
            <w:pPr>
              <w:keepNext/>
              <w:tabs>
                <w:tab w:val="left" w:pos="4185"/>
              </w:tabs>
              <w:snapToGrid w:val="0"/>
              <w:spacing w:line="235" w:lineRule="auto"/>
              <w:ind w:firstLine="560" w:firstLineChars="2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3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.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上海市浦江学者（2014），省部级；</w:t>
            </w:r>
          </w:p>
          <w:p>
            <w:pPr>
              <w:keepNext/>
              <w:tabs>
                <w:tab w:val="left" w:pos="4185"/>
              </w:tabs>
              <w:snapToGrid w:val="0"/>
              <w:spacing w:line="235" w:lineRule="auto"/>
              <w:ind w:firstLine="560" w:firstLineChars="200"/>
              <w:jc w:val="left"/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4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.上海市晨光学者(2007)，厅局级；</w:t>
            </w:r>
          </w:p>
          <w:p>
            <w:pPr>
              <w:keepNext/>
              <w:tabs>
                <w:tab w:val="left" w:pos="4185"/>
              </w:tabs>
              <w:snapToGrid w:val="0"/>
              <w:spacing w:line="235" w:lineRule="auto"/>
              <w:ind w:firstLine="560" w:firstLineChars="200"/>
              <w:jc w:val="left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5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.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上海市教育法学人才（2</w:t>
            </w:r>
            <w:r>
              <w:rPr>
                <w:rFonts w:ascii="华文楷体" w:hAnsi="华文楷体" w:eastAsia="华文楷体" w:cs="楷体"/>
                <w:kern w:val="0"/>
                <w:sz w:val="28"/>
                <w:szCs w:val="28"/>
              </w:rPr>
              <w:t>020</w:t>
            </w:r>
            <w:r>
              <w:rPr>
                <w:rFonts w:hint="eastAsia" w:ascii="华文楷体" w:hAnsi="华文楷体" w:eastAsia="华文楷体" w:cs="楷体"/>
                <w:kern w:val="0"/>
                <w:sz w:val="28"/>
                <w:szCs w:val="28"/>
              </w:rPr>
              <w:t>），厅局级</w:t>
            </w:r>
            <w:r>
              <w:rPr>
                <w:rFonts w:hint="eastAsia" w:ascii="楷体" w:hAnsi="楷体" w:eastAsia="楷体" w:cs="楷体"/>
                <w:kern w:val="0"/>
                <w:sz w:val="24"/>
              </w:rPr>
              <w:t>。</w:t>
            </w:r>
          </w:p>
        </w:tc>
      </w:tr>
    </w:tbl>
    <w:p>
      <w:pPr>
        <w:spacing w:line="2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xNWNjNDYyYTNmOTgxMGY2OWQ2MmJlMDMyM2M5ZmIifQ=="/>
  </w:docVars>
  <w:rsids>
    <w:rsidRoot w:val="AFFF087D"/>
    <w:rsid w:val="000665F3"/>
    <w:rsid w:val="001142B9"/>
    <w:rsid w:val="00114537"/>
    <w:rsid w:val="001227DB"/>
    <w:rsid w:val="00164612"/>
    <w:rsid w:val="00182A25"/>
    <w:rsid w:val="00190067"/>
    <w:rsid w:val="00253112"/>
    <w:rsid w:val="00265E4E"/>
    <w:rsid w:val="002F2B08"/>
    <w:rsid w:val="003228B2"/>
    <w:rsid w:val="00324296"/>
    <w:rsid w:val="0038075C"/>
    <w:rsid w:val="0038396C"/>
    <w:rsid w:val="003A6C43"/>
    <w:rsid w:val="003F0F7A"/>
    <w:rsid w:val="004144D9"/>
    <w:rsid w:val="00416024"/>
    <w:rsid w:val="00441107"/>
    <w:rsid w:val="004435CA"/>
    <w:rsid w:val="00447E37"/>
    <w:rsid w:val="004B2477"/>
    <w:rsid w:val="004F433A"/>
    <w:rsid w:val="0052358C"/>
    <w:rsid w:val="005520C9"/>
    <w:rsid w:val="00552CCD"/>
    <w:rsid w:val="00565784"/>
    <w:rsid w:val="00584FF3"/>
    <w:rsid w:val="00592A54"/>
    <w:rsid w:val="005A6304"/>
    <w:rsid w:val="005C27DD"/>
    <w:rsid w:val="005E3CF5"/>
    <w:rsid w:val="006233D3"/>
    <w:rsid w:val="00644125"/>
    <w:rsid w:val="00653546"/>
    <w:rsid w:val="00662F78"/>
    <w:rsid w:val="00666654"/>
    <w:rsid w:val="00670A32"/>
    <w:rsid w:val="0068684B"/>
    <w:rsid w:val="006964D0"/>
    <w:rsid w:val="006B3F3D"/>
    <w:rsid w:val="006D2DD8"/>
    <w:rsid w:val="006E2DB8"/>
    <w:rsid w:val="006F36B2"/>
    <w:rsid w:val="006F5B4C"/>
    <w:rsid w:val="00715B23"/>
    <w:rsid w:val="007174BC"/>
    <w:rsid w:val="0076641F"/>
    <w:rsid w:val="007C1E1D"/>
    <w:rsid w:val="007D73F6"/>
    <w:rsid w:val="007F76F4"/>
    <w:rsid w:val="00820966"/>
    <w:rsid w:val="008547AA"/>
    <w:rsid w:val="00854D55"/>
    <w:rsid w:val="00867F8A"/>
    <w:rsid w:val="008B2A18"/>
    <w:rsid w:val="008D0012"/>
    <w:rsid w:val="009222BE"/>
    <w:rsid w:val="009420E8"/>
    <w:rsid w:val="00943F89"/>
    <w:rsid w:val="00960180"/>
    <w:rsid w:val="00961AA0"/>
    <w:rsid w:val="009631F3"/>
    <w:rsid w:val="00984B2E"/>
    <w:rsid w:val="009A1F04"/>
    <w:rsid w:val="009C6EE6"/>
    <w:rsid w:val="00A12E9A"/>
    <w:rsid w:val="00AE7352"/>
    <w:rsid w:val="00B152DA"/>
    <w:rsid w:val="00B428CA"/>
    <w:rsid w:val="00B523E1"/>
    <w:rsid w:val="00B811F3"/>
    <w:rsid w:val="00B8695D"/>
    <w:rsid w:val="00BC7B8F"/>
    <w:rsid w:val="00BD7CF7"/>
    <w:rsid w:val="00C1714E"/>
    <w:rsid w:val="00C36919"/>
    <w:rsid w:val="00C5239B"/>
    <w:rsid w:val="00C530B7"/>
    <w:rsid w:val="00C56728"/>
    <w:rsid w:val="00C64104"/>
    <w:rsid w:val="00C647E8"/>
    <w:rsid w:val="00C72BE3"/>
    <w:rsid w:val="00CA4FF2"/>
    <w:rsid w:val="00CD0C03"/>
    <w:rsid w:val="00CF5E88"/>
    <w:rsid w:val="00D4269C"/>
    <w:rsid w:val="00D94B70"/>
    <w:rsid w:val="00DD68D4"/>
    <w:rsid w:val="00E13A7A"/>
    <w:rsid w:val="00E20D7C"/>
    <w:rsid w:val="00E670E5"/>
    <w:rsid w:val="00EB5322"/>
    <w:rsid w:val="00EC7782"/>
    <w:rsid w:val="00ED0523"/>
    <w:rsid w:val="00EF5741"/>
    <w:rsid w:val="00F5618B"/>
    <w:rsid w:val="00F91D23"/>
    <w:rsid w:val="00F970D9"/>
    <w:rsid w:val="00FB06D9"/>
    <w:rsid w:val="00FE7DD1"/>
    <w:rsid w:val="03393896"/>
    <w:rsid w:val="126C697D"/>
    <w:rsid w:val="16DD75A8"/>
    <w:rsid w:val="1EBD9178"/>
    <w:rsid w:val="2CEFB339"/>
    <w:rsid w:val="2EFBBC48"/>
    <w:rsid w:val="3B9D0C2F"/>
    <w:rsid w:val="3BBF1B45"/>
    <w:rsid w:val="3DFF8C80"/>
    <w:rsid w:val="3FAC72FC"/>
    <w:rsid w:val="3FDF6C0E"/>
    <w:rsid w:val="3FE95ABC"/>
    <w:rsid w:val="417578CE"/>
    <w:rsid w:val="56EEFD7E"/>
    <w:rsid w:val="57B74E1B"/>
    <w:rsid w:val="591FD8F5"/>
    <w:rsid w:val="5AAC40BB"/>
    <w:rsid w:val="5DD32290"/>
    <w:rsid w:val="5DF46E1D"/>
    <w:rsid w:val="5DFEE7D4"/>
    <w:rsid w:val="5F3743E3"/>
    <w:rsid w:val="5FBC2178"/>
    <w:rsid w:val="6F9B4CF3"/>
    <w:rsid w:val="6FAF0381"/>
    <w:rsid w:val="6FFF2EC6"/>
    <w:rsid w:val="70265EA0"/>
    <w:rsid w:val="7A8FFAC6"/>
    <w:rsid w:val="7AFB59A5"/>
    <w:rsid w:val="7BDFCBFF"/>
    <w:rsid w:val="7CFECE28"/>
    <w:rsid w:val="7DB18C74"/>
    <w:rsid w:val="7DBAEB37"/>
    <w:rsid w:val="7DBF1A34"/>
    <w:rsid w:val="7DEB2C32"/>
    <w:rsid w:val="7DFF523D"/>
    <w:rsid w:val="7E5F3199"/>
    <w:rsid w:val="7EF35ADA"/>
    <w:rsid w:val="7F7B04A8"/>
    <w:rsid w:val="7F7EF37E"/>
    <w:rsid w:val="7FA5EC14"/>
    <w:rsid w:val="7FBF9D1E"/>
    <w:rsid w:val="7FD7D6B2"/>
    <w:rsid w:val="7FF37BAA"/>
    <w:rsid w:val="9DBC5BFE"/>
    <w:rsid w:val="A7EB79A2"/>
    <w:rsid w:val="ABC2528A"/>
    <w:rsid w:val="ABFD3B40"/>
    <w:rsid w:val="AE8F304D"/>
    <w:rsid w:val="AFFF087D"/>
    <w:rsid w:val="B7D56515"/>
    <w:rsid w:val="B9EF54B5"/>
    <w:rsid w:val="BE3FDE16"/>
    <w:rsid w:val="BEFF65E4"/>
    <w:rsid w:val="CFFF6477"/>
    <w:rsid w:val="D2FAC432"/>
    <w:rsid w:val="D7371D03"/>
    <w:rsid w:val="D7FE4373"/>
    <w:rsid w:val="DE7F24A6"/>
    <w:rsid w:val="ED661AE8"/>
    <w:rsid w:val="EDFF9236"/>
    <w:rsid w:val="EEFDCF1B"/>
    <w:rsid w:val="EF358C7A"/>
    <w:rsid w:val="EFBFEC5E"/>
    <w:rsid w:val="F2715785"/>
    <w:rsid w:val="F3D759E3"/>
    <w:rsid w:val="F7AF7DD2"/>
    <w:rsid w:val="FAFBA160"/>
    <w:rsid w:val="FBDBA10B"/>
    <w:rsid w:val="FBF77622"/>
    <w:rsid w:val="FE7F89ED"/>
    <w:rsid w:val="FF6D7F3E"/>
    <w:rsid w:val="FFAD001C"/>
    <w:rsid w:val="FFBF67D3"/>
    <w:rsid w:val="FFD77033"/>
    <w:rsid w:val="FFD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6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标题 1 字符"/>
    <w:basedOn w:val="8"/>
    <w:link w:val="2"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character" w:customStyle="1" w:styleId="12">
    <w:name w:val="批注框文本 字符"/>
    <w:basedOn w:val="8"/>
    <w:link w:val="4"/>
    <w:semiHidden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3">
    <w:name w:val="页脚 字符"/>
    <w:basedOn w:val="8"/>
    <w:link w:val="5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7526</Words>
  <Characters>8957</Characters>
  <Lines>94</Lines>
  <Paragraphs>26</Paragraphs>
  <TotalTime>3</TotalTime>
  <ScaleCrop>false</ScaleCrop>
  <LinksUpToDate>false</LinksUpToDate>
  <CharactersWithSpaces>9155</CharactersWithSpaces>
  <Application>WPS Office_11.1.0.14036_F1E327BC-269C-435d-A152-05C5408002CA</Application>
  <DocSecurity>1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2023-03-17T20:12:00Z</dcterms:created>
  <dc:creator>fxhuser</dc:creator>
  <cp:lastModifiedBy>执牛耳</cp:lastModifiedBy>
  <cp:lastPrinted>2023-02-23T17:22:00Z</cp:lastPrinted>
  <dcterms:modified xsi:type="dcterms:W3CDTF">2023-04-27T06:42:20Z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4B98649AE9A7447AA14C6611918D635E</vt:lpwstr>
  </property>
</Properties>
</file>