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3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93.05pt;margin-top:490.75pt;height:124.15pt;width:356.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8" w:lineRule="auto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10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姓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 xml:space="preserve">   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名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  <w:u w:val="single" w:color="auto"/>
                    </w:rPr>
                    <w:t xml:space="preserve">               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  <w:u w:val="single" w:color="auto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周建军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  <w:u w:val="single" w:color="auto"/>
                    </w:rPr>
                    <w:t xml:space="preserve">              </w:t>
                  </w:r>
                </w:p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00" w:line="439" w:lineRule="auto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工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作单位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  <w:u w:val="single" w:color="auto"/>
                    </w:rPr>
                    <w:t xml:space="preserve">            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31"/>
                      <w:szCs w:val="31"/>
                      <w:u w:val="single" w:color="auto"/>
                      <w:lang w:val="en-US" w:eastAsia="zh-CN"/>
                    </w:rPr>
                    <w:t>云南师范大学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  <w:u w:val="single" w:color="auto"/>
                    </w:rPr>
                    <w:t xml:space="preserve">           </w:t>
                  </w:r>
                </w:p>
                <w:p>
                  <w:pPr>
                    <w:spacing w:line="226" w:lineRule="auto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  <w14:textOutline w14:w="579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推荐单位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  <w:u w:val="single" w:color="auto"/>
                    </w:rPr>
                    <w:t xml:space="preserve">             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31"/>
                      <w:szCs w:val="31"/>
                      <w:u w:val="single" w:color="auto"/>
                      <w:lang w:eastAsia="zh-CN"/>
                    </w:rPr>
                    <w:t>云南省法学会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  <w:u w:val="single" w:color="auto"/>
                    </w:rPr>
                    <w:t xml:space="preserve">          </w:t>
                  </w:r>
                </w:p>
              </w:txbxContent>
            </v:textbox>
          </v:shape>
        </w:pict>
      </w:r>
    </w:p>
    <w:p>
      <w:pPr>
        <w:spacing w:before="100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>件 2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2251" w:lineRule="exact"/>
        <w:ind w:firstLine="3241"/>
        <w:textAlignment w:val="center"/>
      </w:pPr>
      <w:r>
        <w:drawing>
          <wp:inline distT="0" distB="0" distL="0" distR="0">
            <wp:extent cx="1483995" cy="14293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375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84" w:line="247" w:lineRule="auto"/>
        <w:ind w:left="3754" w:right="825" w:hanging="24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2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十届“全国杰出青年法学家”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0" w:lineRule="exact"/>
        <w:textAlignment w:val="center"/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1" w:line="415" w:lineRule="exact"/>
        <w:ind w:left="336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6"/>
          <w:sz w:val="31"/>
          <w:szCs w:val="31"/>
        </w:rPr>
        <w:t>中国法学会</w:t>
      </w:r>
    </w:p>
    <w:p>
      <w:pPr>
        <w:spacing w:before="1" w:line="224" w:lineRule="auto"/>
        <w:ind w:left="31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sz w:val="31"/>
          <w:szCs w:val="31"/>
        </w:rPr>
        <w:t>2</w:t>
      </w:r>
      <w:r>
        <w:rPr>
          <w:rFonts w:ascii="宋体" w:hAnsi="宋体" w:eastAsia="宋体" w:cs="宋体"/>
          <w:spacing w:val="-13"/>
          <w:sz w:val="31"/>
          <w:szCs w:val="31"/>
        </w:rPr>
        <w:t>022 年 12 月印制</w:t>
      </w:r>
    </w:p>
    <w:p>
      <w:pPr>
        <w:sectPr>
          <w:pgSz w:w="11770" w:h="16640"/>
          <w:pgMar w:top="1414" w:right="1765" w:bottom="0" w:left="1474" w:header="0" w:footer="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29" w:lineRule="auto"/>
        <w:ind w:left="33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369" w:lineRule="auto"/>
        <w:ind w:left="7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一</w:t>
      </w:r>
      <w:r>
        <w:rPr>
          <w:rFonts w:ascii="仿宋" w:hAnsi="仿宋" w:eastAsia="仿宋" w:cs="仿宋"/>
          <w:spacing w:val="-3"/>
          <w:sz w:val="28"/>
          <w:szCs w:val="28"/>
        </w:rPr>
        <w:t>、表一为推荐单位填写或指导推荐候选人填写，表二为推荐候选人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工作单位上级党委 (党</w:t>
      </w:r>
      <w:r>
        <w:rPr>
          <w:rFonts w:ascii="仿宋" w:hAnsi="仿宋" w:eastAsia="仿宋" w:cs="仿宋"/>
          <w:spacing w:val="-3"/>
          <w:sz w:val="28"/>
          <w:szCs w:val="28"/>
        </w:rPr>
        <w:t>组</w:t>
      </w:r>
      <w:r>
        <w:rPr>
          <w:rFonts w:ascii="仿宋" w:hAnsi="仿宋" w:eastAsia="仿宋" w:cs="仿宋"/>
          <w:spacing w:val="-2"/>
          <w:sz w:val="28"/>
          <w:szCs w:val="28"/>
        </w:rPr>
        <w:t>) 填写并盖章，表三为推荐候选人工作单位上级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纪检监察部门填写并盖章，表四为推荐单位填写并盖</w:t>
      </w:r>
      <w:r>
        <w:rPr>
          <w:rFonts w:ascii="仿宋" w:hAnsi="仿宋" w:eastAsia="仿宋" w:cs="仿宋"/>
          <w:sz w:val="28"/>
          <w:szCs w:val="28"/>
        </w:rPr>
        <w:t>章。</w:t>
      </w:r>
    </w:p>
    <w:p>
      <w:pPr>
        <w:spacing w:before="1" w:line="369" w:lineRule="auto"/>
        <w:ind w:left="6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例如，推荐候选人为某大学法学院教授的，表二应由该大学党委</w:t>
      </w:r>
      <w:r>
        <w:rPr>
          <w:rFonts w:ascii="仿宋" w:hAnsi="仿宋" w:eastAsia="仿宋" w:cs="仿宋"/>
          <w:spacing w:val="-1"/>
          <w:sz w:val="28"/>
          <w:szCs w:val="28"/>
        </w:rPr>
        <w:t>填</w:t>
      </w:r>
      <w:r>
        <w:rPr>
          <w:rFonts w:ascii="仿宋" w:hAnsi="仿宋" w:eastAsia="仿宋" w:cs="仿宋"/>
          <w:sz w:val="28"/>
          <w:szCs w:val="28"/>
        </w:rPr>
        <w:t xml:space="preserve">写 </w:t>
      </w:r>
      <w:r>
        <w:rPr>
          <w:rFonts w:ascii="仿宋" w:hAnsi="仿宋" w:eastAsia="仿宋" w:cs="仿宋"/>
          <w:spacing w:val="-3"/>
          <w:sz w:val="28"/>
          <w:szCs w:val="28"/>
        </w:rPr>
        <w:t>并盖章，表三应由该大学纪委填写并盖章，表四应由该大学法学院填写</w:t>
      </w:r>
      <w:r>
        <w:rPr>
          <w:rFonts w:ascii="仿宋" w:hAnsi="仿宋" w:eastAsia="仿宋" w:cs="仿宋"/>
          <w:sz w:val="28"/>
          <w:szCs w:val="28"/>
        </w:rPr>
        <w:t xml:space="preserve">并 </w:t>
      </w:r>
      <w:r>
        <w:rPr>
          <w:rFonts w:ascii="仿宋" w:hAnsi="仿宋" w:eastAsia="仿宋" w:cs="仿宋"/>
          <w:spacing w:val="-9"/>
          <w:sz w:val="28"/>
          <w:szCs w:val="28"/>
        </w:rPr>
        <w:t>盖</w:t>
      </w:r>
      <w:r>
        <w:rPr>
          <w:rFonts w:ascii="仿宋" w:hAnsi="仿宋" w:eastAsia="仿宋" w:cs="仿宋"/>
          <w:spacing w:val="-6"/>
          <w:sz w:val="28"/>
          <w:szCs w:val="28"/>
        </w:rPr>
        <w:t>章。</w:t>
      </w:r>
    </w:p>
    <w:p>
      <w:pPr>
        <w:spacing w:before="2" w:line="368" w:lineRule="auto"/>
        <w:ind w:left="14" w:right="1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二、推荐单位需填写推荐评选委员会投票情况、推荐意见 (每人 50</w:t>
      </w:r>
      <w:r>
        <w:rPr>
          <w:rFonts w:ascii="仿宋" w:hAnsi="仿宋" w:eastAsia="仿宋" w:cs="仿宋"/>
          <w:sz w:val="28"/>
          <w:szCs w:val="28"/>
        </w:rPr>
        <w:t xml:space="preserve">0 </w:t>
      </w:r>
      <w:r>
        <w:rPr>
          <w:rFonts w:ascii="仿宋" w:hAnsi="仿宋" w:eastAsia="仿宋" w:cs="仿宋"/>
          <w:spacing w:val="-12"/>
          <w:sz w:val="28"/>
          <w:szCs w:val="28"/>
        </w:rPr>
        <w:t>字</w:t>
      </w:r>
      <w:r>
        <w:rPr>
          <w:rFonts w:ascii="仿宋" w:hAnsi="仿宋" w:eastAsia="仿宋" w:cs="仿宋"/>
          <w:spacing w:val="-9"/>
          <w:sz w:val="28"/>
          <w:szCs w:val="28"/>
        </w:rPr>
        <w:t>以内)。</w:t>
      </w:r>
    </w:p>
    <w:p>
      <w:pPr>
        <w:spacing w:line="242" w:lineRule="auto"/>
        <w:ind w:left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三、</w:t>
      </w:r>
      <w:r>
        <w:rPr>
          <w:rFonts w:ascii="仿宋" w:hAnsi="仿宋" w:eastAsia="仿宋" w:cs="仿宋"/>
          <w:spacing w:val="-3"/>
          <w:sz w:val="28"/>
          <w:szCs w:val="28"/>
        </w:rPr>
        <w:t>请用计算机填写，可根据实际需要分栏，但勿随意变动格式及字</w:t>
      </w:r>
    </w:p>
    <w:p>
      <w:pPr>
        <w:spacing w:before="193" w:line="223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体字号。</w:t>
      </w:r>
    </w:p>
    <w:p>
      <w:pPr>
        <w:spacing w:before="221" w:line="222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四</w:t>
      </w:r>
      <w:r>
        <w:rPr>
          <w:rFonts w:ascii="仿宋" w:hAnsi="仿宋" w:eastAsia="仿宋" w:cs="仿宋"/>
          <w:spacing w:val="-14"/>
          <w:sz w:val="28"/>
          <w:szCs w:val="28"/>
        </w:rPr>
        <w:t>、请各推荐单位于 2023 年 3 月 20 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ascii="仿宋" w:hAnsi="仿宋" w:eastAsia="仿宋" w:cs="仿宋"/>
          <w:spacing w:val="-14"/>
          <w:sz w:val="28"/>
          <w:szCs w:val="28"/>
        </w:rPr>
        <w:t>本表电子版发至指定</w:t>
      </w:r>
      <w:r>
        <w:rPr>
          <w:rFonts w:ascii="仿宋" w:hAnsi="仿宋" w:eastAsia="仿宋" w:cs="仿宋"/>
          <w:spacing w:val="-14"/>
          <w:sz w:val="28"/>
          <w:szCs w:val="28"/>
        </w:rPr>
        <w:fldChar w:fldCharType="end"/>
      </w:r>
    </w:p>
    <w:p>
      <w:pPr>
        <w:spacing w:before="224" w:line="373" w:lineRule="auto"/>
        <w:ind w:right="2" w:firstLine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邮箱。</w:t>
      </w:r>
      <w:r>
        <w:rPr>
          <w:rFonts w:ascii="仿宋" w:hAnsi="仿宋" w:eastAsia="仿宋" w:cs="仿宋"/>
          <w:spacing w:val="-3"/>
          <w:sz w:val="28"/>
          <w:szCs w:val="28"/>
        </w:rPr>
        <w:t>纸质版以 A4 纸打印一式四份，连同推荐评选情况报告、推荐候选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人</w:t>
      </w:r>
      <w:r>
        <w:rPr>
          <w:rFonts w:ascii="仿宋" w:hAnsi="仿宋" w:eastAsia="仿宋" w:cs="仿宋"/>
          <w:spacing w:val="-6"/>
          <w:sz w:val="28"/>
          <w:szCs w:val="28"/>
        </w:rPr>
        <w:t>身份证复印件、推荐候选人代表性学术专著 1-2 部 (独著) 、学术论文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3</w:t>
      </w:r>
      <w:r>
        <w:rPr>
          <w:rFonts w:ascii="仿宋" w:hAnsi="仿宋" w:eastAsia="仿宋" w:cs="仿宋"/>
          <w:spacing w:val="-10"/>
          <w:sz w:val="28"/>
          <w:szCs w:val="28"/>
        </w:rPr>
        <w:t>-</w:t>
      </w:r>
      <w:r>
        <w:rPr>
          <w:rFonts w:ascii="仿宋" w:hAnsi="仿宋" w:eastAsia="仿宋" w:cs="仿宋"/>
          <w:spacing w:val="-6"/>
          <w:sz w:val="28"/>
          <w:szCs w:val="28"/>
        </w:rPr>
        <w:t>5 篇 (独著或第一作者)、重要荣誉证书或证明复印件各一式一份，寄至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指定地址。</w:t>
      </w:r>
    </w:p>
    <w:p>
      <w:pPr>
        <w:spacing w:line="442" w:lineRule="auto"/>
        <w:rPr>
          <w:rFonts w:ascii="Arial"/>
          <w:sz w:val="21"/>
        </w:rPr>
      </w:pPr>
    </w:p>
    <w:p>
      <w:pPr>
        <w:spacing w:before="91" w:line="224" w:lineRule="auto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联 系 人：魏丽莎 于晓航</w:t>
      </w:r>
      <w:r>
        <w:rPr>
          <w:rFonts w:ascii="仿宋" w:hAnsi="仿宋" w:eastAsia="仿宋" w:cs="仿宋"/>
          <w:sz w:val="28"/>
          <w:szCs w:val="28"/>
        </w:rPr>
        <w:t xml:space="preserve">  010-66123109</w:t>
      </w:r>
    </w:p>
    <w:p>
      <w:pPr>
        <w:spacing w:before="220" w:line="222" w:lineRule="auto"/>
        <w:ind w:left="5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7"/>
          <w:sz w:val="28"/>
          <w:szCs w:val="28"/>
        </w:rPr>
        <w:t>邮</w:t>
      </w:r>
      <w:r>
        <w:rPr>
          <w:rFonts w:ascii="仿宋" w:hAnsi="仿宋" w:eastAsia="仿宋" w:cs="仿宋"/>
          <w:spacing w:val="-16"/>
          <w:sz w:val="28"/>
          <w:szCs w:val="28"/>
        </w:rPr>
        <w:t>寄地址：北京市海淀区皂君庙 4 号中国法学会研究部 1334 室</w:t>
      </w:r>
    </w:p>
    <w:p>
      <w:pPr>
        <w:spacing w:before="225" w:line="222" w:lineRule="auto"/>
        <w:ind w:left="5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邮    编：10008</w:t>
      </w:r>
      <w:r>
        <w:rPr>
          <w:rFonts w:ascii="仿宋" w:hAnsi="仿宋" w:eastAsia="仿宋" w:cs="仿宋"/>
          <w:spacing w:val="-1"/>
          <w:sz w:val="28"/>
          <w:szCs w:val="28"/>
        </w:rPr>
        <w:t>1</w:t>
      </w:r>
    </w:p>
    <w:p>
      <w:pPr>
        <w:spacing w:before="15" w:line="396" w:lineRule="auto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电子</w:t>
      </w:r>
      <w:r>
        <w:rPr>
          <w:rFonts w:ascii="仿宋" w:hAnsi="仿宋" w:eastAsia="仿宋" w:cs="仿宋"/>
          <w:spacing w:val="-2"/>
          <w:sz w:val="28"/>
          <w:szCs w:val="28"/>
        </w:rPr>
        <w:t>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>qnfxj2022@163.com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fldChar w:fldCharType="end"/>
      </w:r>
    </w:p>
    <w:p>
      <w:pPr>
        <w:sectPr>
          <w:pgSz w:w="11770" w:h="16640"/>
          <w:pgMar w:top="1414" w:right="1437" w:bottom="0" w:left="1455" w:header="0" w:footer="0" w:gutter="0"/>
          <w:cols w:space="720" w:num="1"/>
        </w:sectPr>
      </w:pPr>
    </w:p>
    <w:p>
      <w:pPr>
        <w:spacing w:line="161" w:lineRule="exact"/>
      </w:pPr>
    </w:p>
    <w:tbl>
      <w:tblPr>
        <w:tblStyle w:val="5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2103"/>
        <w:gridCol w:w="1275"/>
        <w:gridCol w:w="2015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9004" w:type="dxa"/>
            <w:gridSpan w:val="5"/>
            <w:vAlign w:val="top"/>
          </w:tcPr>
          <w:p>
            <w:pPr>
              <w:spacing w:before="272" w:line="197" w:lineRule="auto"/>
              <w:ind w:left="113"/>
              <w:rPr>
                <w:rFonts w:ascii="华文中宋" w:hAnsi="华文中宋" w:eastAsia="华文中宋" w:cs="华文中宋"/>
                <w:sz w:val="29"/>
                <w:szCs w:val="29"/>
              </w:rPr>
            </w:pPr>
            <w:r>
              <w:rPr>
                <w:rFonts w:ascii="华文中宋" w:hAnsi="华文中宋" w:eastAsia="华文中宋" w:cs="华文中宋"/>
                <w:spacing w:val="1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表一</w:t>
            </w:r>
            <w:r>
              <w:rPr>
                <w:rFonts w:ascii="华文中宋" w:hAnsi="华文中宋" w:eastAsia="华文中宋" w:cs="华文中宋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华文中宋" w:hAnsi="华文中宋" w:eastAsia="华文中宋" w:cs="华文中宋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：推荐候选人情况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24" w:type="dxa"/>
            <w:vAlign w:val="top"/>
          </w:tcPr>
          <w:p>
            <w:pPr>
              <w:spacing w:before="105" w:line="227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103" w:type="dxa"/>
            <w:vAlign w:val="top"/>
          </w:tcPr>
          <w:p>
            <w:pPr>
              <w:spacing w:before="104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建军</w:t>
            </w:r>
          </w:p>
        </w:tc>
        <w:tc>
          <w:tcPr>
            <w:tcW w:w="1275" w:type="dxa"/>
            <w:vAlign w:val="top"/>
          </w:tcPr>
          <w:p>
            <w:pPr>
              <w:spacing w:before="105" w:line="228" w:lineRule="auto"/>
              <w:ind w:left="1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2015" w:type="dxa"/>
            <w:vAlign w:val="top"/>
          </w:tcPr>
          <w:p>
            <w:pPr>
              <w:spacing w:before="105" w:line="228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1987" w:type="dxa"/>
            <w:vMerge w:val="restart"/>
            <w:tcBorders>
              <w:bottom w:val="nil"/>
            </w:tcBorders>
            <w:vAlign w:val="top"/>
          </w:tcPr>
          <w:p>
            <w:pPr>
              <w:spacing w:before="140" w:line="2520" w:lineRule="exact"/>
              <w:ind w:firstLine="105"/>
              <w:textAlignment w:val="center"/>
            </w:pPr>
            <w:r>
              <w:drawing>
                <wp:inline distT="0" distB="0" distL="0" distR="0">
                  <wp:extent cx="1119505" cy="16002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39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24" w:type="dxa"/>
            <w:vAlign w:val="top"/>
          </w:tcPr>
          <w:p>
            <w:pPr>
              <w:spacing w:before="113" w:line="228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2103" w:type="dxa"/>
            <w:vAlign w:val="top"/>
          </w:tcPr>
          <w:p>
            <w:pPr>
              <w:spacing w:before="149" w:line="191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1977.6.29</w:t>
            </w:r>
          </w:p>
        </w:tc>
        <w:tc>
          <w:tcPr>
            <w:tcW w:w="1275" w:type="dxa"/>
            <w:vAlign w:val="top"/>
          </w:tcPr>
          <w:p>
            <w:pPr>
              <w:spacing w:before="112" w:line="229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2015" w:type="dxa"/>
            <w:vAlign w:val="top"/>
          </w:tcPr>
          <w:p>
            <w:pPr>
              <w:spacing w:before="112" w:line="230" w:lineRule="auto"/>
              <w:ind w:left="8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汉</w:t>
            </w:r>
          </w:p>
        </w:tc>
        <w:tc>
          <w:tcPr>
            <w:tcW w:w="19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24" w:type="dxa"/>
            <w:vAlign w:val="top"/>
          </w:tcPr>
          <w:p>
            <w:pPr>
              <w:spacing w:before="113" w:line="227" w:lineRule="auto"/>
              <w:ind w:left="3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治面貌</w:t>
            </w:r>
          </w:p>
        </w:tc>
        <w:tc>
          <w:tcPr>
            <w:tcW w:w="2103" w:type="dxa"/>
            <w:vAlign w:val="top"/>
          </w:tcPr>
          <w:p>
            <w:pPr>
              <w:spacing w:before="114" w:line="227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共党员</w:t>
            </w:r>
          </w:p>
        </w:tc>
        <w:tc>
          <w:tcPr>
            <w:tcW w:w="1275" w:type="dxa"/>
            <w:vAlign w:val="top"/>
          </w:tcPr>
          <w:p>
            <w:pPr>
              <w:spacing w:before="113" w:line="229" w:lineRule="auto"/>
              <w:ind w:left="1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2015" w:type="dxa"/>
            <w:vAlign w:val="top"/>
          </w:tcPr>
          <w:p>
            <w:pPr>
              <w:spacing w:before="113" w:line="227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博士研究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</w:p>
        </w:tc>
        <w:tc>
          <w:tcPr>
            <w:tcW w:w="19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24" w:type="dxa"/>
            <w:vAlign w:val="top"/>
          </w:tcPr>
          <w:p>
            <w:pPr>
              <w:spacing w:before="102" w:line="227" w:lineRule="auto"/>
              <w:ind w:left="3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技术职称</w:t>
            </w:r>
          </w:p>
        </w:tc>
        <w:tc>
          <w:tcPr>
            <w:tcW w:w="2103" w:type="dxa"/>
            <w:vAlign w:val="top"/>
          </w:tcPr>
          <w:p>
            <w:pPr>
              <w:spacing w:before="102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授</w:t>
            </w:r>
          </w:p>
        </w:tc>
        <w:tc>
          <w:tcPr>
            <w:tcW w:w="1275" w:type="dxa"/>
            <w:vAlign w:val="top"/>
          </w:tcPr>
          <w:p>
            <w:pPr>
              <w:spacing w:before="102" w:line="227" w:lineRule="auto"/>
              <w:ind w:left="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政职务</w:t>
            </w:r>
          </w:p>
        </w:tc>
        <w:tc>
          <w:tcPr>
            <w:tcW w:w="2015" w:type="dxa"/>
            <w:vAlign w:val="top"/>
          </w:tcPr>
          <w:p>
            <w:pPr>
              <w:spacing w:before="101" w:line="228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9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24" w:type="dxa"/>
            <w:vAlign w:val="top"/>
          </w:tcPr>
          <w:p>
            <w:pPr>
              <w:spacing w:before="101" w:line="228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作单位</w:t>
            </w:r>
          </w:p>
        </w:tc>
        <w:tc>
          <w:tcPr>
            <w:tcW w:w="5393" w:type="dxa"/>
            <w:gridSpan w:val="3"/>
            <w:vAlign w:val="top"/>
          </w:tcPr>
          <w:p>
            <w:pPr>
              <w:spacing w:before="100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南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师范大学法学与社会学学院</w:t>
            </w:r>
          </w:p>
        </w:tc>
        <w:tc>
          <w:tcPr>
            <w:tcW w:w="1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24" w:type="dxa"/>
            <w:vAlign w:val="top"/>
          </w:tcPr>
          <w:p>
            <w:pPr>
              <w:spacing w:before="101" w:line="235" w:lineRule="auto"/>
              <w:ind w:left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讯地址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spacing w:before="102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云南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省昆明市呈贡区雨花片区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770" w:h="16640"/>
          <w:pgMar w:top="1414" w:right="1142" w:bottom="0" w:left="1618" w:header="0" w:footer="0" w:gutter="0"/>
          <w:cols w:space="720" w:num="1"/>
        </w:sectPr>
      </w:pPr>
    </w:p>
    <w:p/>
    <w:p>
      <w:pPr>
        <w:spacing w:line="147" w:lineRule="exact"/>
      </w:pPr>
    </w:p>
    <w:tbl>
      <w:tblPr>
        <w:tblStyle w:val="5"/>
        <w:tblW w:w="89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1" w:hRule="atLeast"/>
        </w:trPr>
        <w:tc>
          <w:tcPr>
            <w:tcW w:w="89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169" w:line="252" w:lineRule="auto"/>
              <w:ind w:left="3609" w:firstLine="624" w:firstLineChars="2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1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  <w:r>
              <w:rPr>
                <w:rFonts w:ascii="宋体" w:hAnsi="宋体" w:eastAsia="宋体" w:cs="宋体"/>
                <w:spacing w:val="8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要学术成果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25" w:line="252" w:lineRule="auto"/>
              <w:ind w:left="111" w:right="107" w:firstLine="572" w:firstLineChars="20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楷体" w:hAnsi="楷体" w:eastAsia="楷体" w:cs="楷体"/>
                <w:spacing w:val="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包括专著和论文，只列书名和篇名即可。论文仅限于发表在核心期刊或全国性重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要报纸上的。请注明署名方式、发表或出版时间、刊物或出版社、字数。代表性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作和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论文请注明中国知网统计的被引用数。)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firstLine="420" w:firstLineChars="200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1.专著：《刑事政治导论》，人民出版社2021年版，被引1次(27万字)；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2.专著：《刑事司法政策原理》(“十二五”国家重点图书出版规划项目)，清华大学出版社2011年版，</w:t>
            </w:r>
            <w:r>
              <w:rPr>
                <w:rFonts w:hint="eastAsia" w:ascii="黑体" w:hAnsi="黑体" w:eastAsia="黑体" w:cs="黑体"/>
                <w:spacing w:val="-5"/>
                <w:sz w:val="23"/>
                <w:szCs w:val="23"/>
              </w:rPr>
              <w:t>被引113次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(33.5万字)；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3.论文：《刑事政治视域的跨境婚姻人口贩运问题研究》，独立撰写，载《云南民族大学学报(哲学社会科学版)》(CSSCI)2022年第4期(1.4万字)；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4.论文：《毒品犯罪罪刑量化的实证研究》，第一作者，载《法治研究》(CSSCI)2022年第4期(1.9万字)；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5.论文：《食品安全刑法“非食品原料”认定的学理问题》，第一作者，载《江西社会科学》(CSSCI)2021年第12期，被引2次(1.6万字)；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6.论文：《迈向新时代的社会治理法治化》，第一作者，载《云南民族大学学报(哲学社会科学版)》(CSSCI)2019年第1期，</w:t>
            </w:r>
            <w:r>
              <w:rPr>
                <w:rFonts w:hint="eastAsia" w:ascii="黑体" w:hAnsi="黑体" w:eastAsia="黑体" w:cs="黑体"/>
                <w:spacing w:val="-5"/>
                <w:sz w:val="23"/>
                <w:szCs w:val="23"/>
              </w:rPr>
              <w:t>被引33次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(1.1万字)；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7.论文：《“李斯特鸿沟”的误读及其社会政策诠释》，独立撰写，载《求索》(CSSCI)2018年第6期，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被引6次(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1.8万字)；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8.论文：《中国民营企业犯罪治理的政策研究》，独立撰写，载《政治与法律》(CSSCI)2012年第7期，</w:t>
            </w:r>
            <w:r>
              <w:rPr>
                <w:rFonts w:hint="eastAsia" w:ascii="黑体" w:hAnsi="黑体" w:eastAsia="黑体" w:cs="黑体"/>
                <w:spacing w:val="-5"/>
                <w:sz w:val="23"/>
                <w:szCs w:val="23"/>
              </w:rPr>
              <w:t>被引24次(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0.9万字)；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9.论文：《盲人摸象、管中窥豹抑或多元融通——犯罪学研究的一体化进路》，第一作者，载《法治研究》(CSSCI)2012年第3期，被引4次(0.95万字)；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10.论文：《论刑事司法政策的本原和形式》，第一作者，载《刑法论丛》(CSSCI)2011年第1卷，被引2次(1.8万字)；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11.论文：《论“亲亲”原则在现代刑法中的引入》，第二作者，载《东南学术》(CSSCI)2008年第6期，被引3次(0.8万字)；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12.论文：《变革社会中的刑事政治问题——从制度需求的角度》，载《法律科学(西北政法大学学报)》(CSSCI)2009年第6期，被引12次(0.9万字)；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13.论文：《刑事司法政策的形成与执行》，独立撰写，载《刑法论丛》(CSSCI)2009年12月，总第30卷，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被引6次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，(3万字)；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14.论文：《证券刑法的基本问题》，独立撰写，载《政治与法律》(CSSCI)2008年第10期，</w:t>
            </w:r>
            <w:r>
              <w:rPr>
                <w:rFonts w:hint="eastAsia" w:ascii="黑体" w:hAnsi="黑体" w:eastAsia="黑体" w:cs="黑体"/>
                <w:spacing w:val="-5"/>
                <w:sz w:val="23"/>
                <w:szCs w:val="23"/>
              </w:rPr>
              <w:t>被引15次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(0.85万字)；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15.论文：《法条竞合犯抑或想象竞合犯——法条竞合犯与想象竞合犯的界限之争》，独立撰写，载《刑事法评论》(CSSCI)2008年第1期，被引23次(2.7万字)；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16.论文：《中国废除毒品犯罪死刑的刑事政策分析》，第一作者，载《昆明理工大学学报(社会科学版)》(一般核心)，2021年第2期(1.1万字)；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17.论文：《刑法学研究的思想与动向(2018-2019)》，独立撰写，载《昆明理工大学学报(社会科学版)》(一般核心)2019年第4期，被引2次(0.3万字)；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18.论文：《刑事政治的元理论探究》，独立撰写，载《昆明理工大学学报(社会科学版)》(一般核心)2019年第2期，被引4次(1.3万字)；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ind w:left="116" w:right="131" w:firstLine="440" w:firstLineChars="200"/>
              <w:rPr>
                <w:rFonts w:ascii="宋体" w:hAnsi="宋体" w:eastAsia="宋体" w:cs="宋体"/>
                <w:spacing w:val="-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19.论文：《</w:t>
            </w:r>
            <w:r>
              <w:rPr>
                <w:rFonts w:hint="eastAsia" w:ascii="黑体" w:hAnsi="黑体" w:eastAsia="黑体" w:cs="黑体"/>
                <w:spacing w:val="-5"/>
                <w:sz w:val="23"/>
                <w:szCs w:val="23"/>
              </w:rPr>
              <w:t>刑事</w:t>
            </w: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</w:rPr>
              <w:t>政治理论的构成与体系》，独立撰写，载《山东警察学院学报》（北大核心）2018年第4期（1万字）；</w:t>
            </w: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252" w:lineRule="auto"/>
        <w:ind w:firstLine="420" w:firstLineChars="200"/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252" w:lineRule="auto"/>
        <w:ind w:firstLine="420" w:firstLineChars="200"/>
      </w:pPr>
    </w:p>
    <w:tbl>
      <w:tblPr>
        <w:tblStyle w:val="5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2" w:hRule="atLeast"/>
        </w:trPr>
        <w:tc>
          <w:tcPr>
            <w:tcW w:w="90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5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20.论文：《乡村社会治理之路径探究》，独立撰写，载《山东警察学院学报》(北大核心)2015年第3期，被引3次(1.1万字)；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21.论文：《满树梨花绝难结出苹果——兼论苏力教授的本土资源论》，独立撰写，载《法治研究》(核心刊物)2013年第9期，被引5次(1.6万字)；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22.论文：《论刑事政策的二律背反原理》，独立撰写，载《昆明理工大学学报(社会科学版)》(B类)2012年第4期，被引3次(0.8万字)；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23.论文：《法人人格的刑事否认原理》，独立撰写，载《江苏警察学院学报》(北大核心)2009年第3期(0.9万字)；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24.论文：《保安处分制度理论研究六十年》，独立撰写，载《山东警察学院学报》(北大核心)2009年第4期，被引4次(1.6万字)；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25.论文：《票据犯罪的疑难问题——以董某票据诈骗案为例》，独立撰写，载《昆明理工大学学报(社会科学版)》(一般核心)2008年第5期，被引2次(0.97万字)；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26.论文：《窃取银行储户资料变造存折取款构成何罪》，独立撰写，载《人民检察》(北大核心)2008年第1期(0.3万字)；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27.论文：《宽严并进”刑事政策在台湾地区的实践——以台湾地区2005年“刑法修正”为样本》，第二作者，载《南昌大学学报(人文社科版)》(中文核心)2007年第1期，</w:t>
            </w:r>
            <w:r>
              <w:rPr>
                <w:rFonts w:hint="eastAsia" w:ascii="黑体" w:hAnsi="黑体" w:eastAsia="黑体" w:cs="黑体"/>
                <w:sz w:val="23"/>
                <w:szCs w:val="23"/>
              </w:rPr>
              <w:t>被引14次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>(0.9万字)；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28.论文：《废除劳教制度如何善后》，第一作者，载《检察风云》(全国性重要报纸)2014年第3期，被引3次(0.3万字)；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29.论文：《犯罪治理的斯芬克斯之谜》，独立撰写，载《检察风云》(全国性重要报纸)2016年第5期，被引5次(0.3万字)；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30.论文：《论刑事和解的法律依据》，独立撰写，载《法制日报》(现更名为《法治日报》，全国性重要报纸)2009年6月17日第12版(0.2万字)；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3" w:line="252" w:lineRule="auto"/>
              <w:ind w:right="27" w:firstLine="460" w:firstLine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31.论文：《社会效果与法律效果：甄别概念再谈关系》，第一作者，载《检察日报》(最高检主办的全国性重要报纸)2009年4月9日第3版(学术版)(0.2万字)。</w:t>
            </w:r>
          </w:p>
        </w:tc>
      </w:tr>
    </w:tbl>
    <w:p>
      <w:pPr>
        <w:sectPr>
          <w:pgSz w:w="11770" w:h="16640"/>
          <w:pgMar w:top="1414" w:right="1142" w:bottom="0" w:left="1618" w:header="0" w:footer="0" w:gutter="0"/>
          <w:cols w:space="720" w:num="1"/>
        </w:sectPr>
      </w:pPr>
    </w:p>
    <w:p>
      <w:pPr>
        <w:spacing w:line="147" w:lineRule="exact"/>
      </w:pPr>
    </w:p>
    <w:tbl>
      <w:tblPr>
        <w:tblStyle w:val="5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2" w:hRule="atLeast"/>
        </w:trPr>
        <w:tc>
          <w:tcPr>
            <w:tcW w:w="9004" w:type="dxa"/>
            <w:vAlign w:val="top"/>
          </w:tcPr>
          <w:p>
            <w:pPr>
              <w:spacing w:before="169" w:line="242" w:lineRule="auto"/>
              <w:ind w:left="346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2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</w:t>
            </w:r>
            <w:r>
              <w:rPr>
                <w:rFonts w:ascii="宋体" w:hAnsi="宋体" w:eastAsia="宋体" w:cs="宋体"/>
                <w:spacing w:val="8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得奖项和表彰</w:t>
            </w:r>
          </w:p>
          <w:p>
            <w:pPr>
              <w:spacing w:line="232" w:lineRule="auto"/>
              <w:ind w:left="308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(请注明获得时间及等级)</w:t>
            </w: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252" w:lineRule="auto"/>
              <w:ind w:right="141" w:firstLine="536" w:firstLineChars="200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2014 年，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专著《刑事司法政策原理》获第三届“中国法学优秀成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果奖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”三等奖；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252" w:lineRule="auto"/>
              <w:ind w:firstLine="544" w:firstLineChars="200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2.2022 年，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专著《刑事政治导论》获云南社会科学成果奖二等奖；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52" w:lineRule="auto"/>
              <w:ind w:firstLine="520" w:firstLineChars="200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022 年，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荣立三等功；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8" w:line="252" w:lineRule="auto"/>
              <w:ind w:firstLine="54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4.2020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年，国家反恐综合训练基地 (云南基地) 优秀共产党员；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" w:line="252" w:lineRule="auto"/>
              <w:ind w:firstLine="536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2019 年，获中国法学会“泛珠论坛”三等奖；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52" w:lineRule="auto"/>
              <w:ind w:firstLine="536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017 年，获中国法学会“西部法治论坛”三等奖；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" w:line="252" w:lineRule="auto"/>
              <w:ind w:firstLine="54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.2014 年，获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中国法学会第三届“中国法学优秀成果奖”三等奖；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52" w:lineRule="auto"/>
              <w:ind w:firstLine="54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.2013 年，获云南省社科成果三等奖；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" w:line="252" w:lineRule="auto"/>
              <w:ind w:firstLine="496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2013 年，中国法学会 ·西部法治论坛二等奖；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" w:line="252" w:lineRule="auto"/>
              <w:ind w:firstLine="548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.2012 年，昆明理工大学“刑法学优势教学法”二等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奖</w:t>
            </w:r>
            <w:r>
              <w:rPr>
                <w:rFonts w:ascii="宋体" w:hAnsi="宋体" w:eastAsia="宋体" w:cs="宋体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" w:line="252" w:lineRule="auto"/>
              <w:ind w:firstLine="50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012 年，获昆明理工大学“红河 ·红云”优秀教师奖；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52" w:lineRule="auto"/>
              <w:ind w:firstLine="532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.2021 年，获云南省公安厅嘉奖；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" w:line="252" w:lineRule="auto"/>
              <w:ind w:firstLine="532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.2005 年，获福建省公安厅嘉奖；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52" w:lineRule="auto"/>
              <w:ind w:firstLine="54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.2009 年，获“京师高铭暄学术成果奖”二等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奖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770" w:h="16640"/>
          <w:pgMar w:top="1414" w:right="1142" w:bottom="0" w:left="1618" w:header="0" w:footer="0" w:gutter="0"/>
          <w:cols w:space="720" w:num="1"/>
        </w:sectPr>
      </w:pPr>
    </w:p>
    <w:p>
      <w:bookmarkStart w:id="0" w:name="_GoBack"/>
      <w:bookmarkEnd w:id="0"/>
    </w:p>
    <w:sectPr>
      <w:headerReference r:id="rId5" w:type="default"/>
      <w:pgSz w:w="11910" w:h="16840"/>
      <w:pgMar w:top="400" w:right="1467" w:bottom="0" w:left="14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xNWNjNDYyYTNmOTgxMGY2OWQ2MmJlMDMyM2M5ZmIifQ=="/>
  </w:docVars>
  <w:rsids>
    <w:rsidRoot w:val="00000000"/>
    <w:rsid w:val="08783EA9"/>
    <w:rsid w:val="108D683E"/>
    <w:rsid w:val="17ED085D"/>
    <w:rsid w:val="2B82123D"/>
    <w:rsid w:val="2D2F4AF6"/>
    <w:rsid w:val="2EBF75A6"/>
    <w:rsid w:val="31D5166A"/>
    <w:rsid w:val="3D3146B9"/>
    <w:rsid w:val="3FEAE011"/>
    <w:rsid w:val="45240818"/>
    <w:rsid w:val="59CB4142"/>
    <w:rsid w:val="654F5CA5"/>
    <w:rsid w:val="663B7EE8"/>
    <w:rsid w:val="6F55769C"/>
    <w:rsid w:val="737B80B2"/>
    <w:rsid w:val="BFFE58C0"/>
    <w:rsid w:val="DCFC58B0"/>
    <w:rsid w:val="E5FF6760"/>
    <w:rsid w:val="F7EAF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5266</Words>
  <Characters>5846</Characters>
  <TotalTime>22</TotalTime>
  <ScaleCrop>false</ScaleCrop>
  <LinksUpToDate>false</LinksUpToDate>
  <CharactersWithSpaces>6101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2023-03-09T15:07:00Z</dcterms:created>
  <dc:creator>fxhuser</dc:creator>
  <cp:lastModifiedBy>执牛耳</cp:lastModifiedBy>
  <cp:lastPrinted>2023-03-22T03:52:00Z</cp:lastPrinted>
  <dcterms:modified xsi:type="dcterms:W3CDTF">2023-04-27T08:16:09Z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2023-03-20T11:21:10Z</vt:filetime>
  </property>
  <property fmtid="{D5CDD505-2E9C-101B-9397-08002B2CF9AE}" pid="4" name="KSOProductBuildVer">
    <vt:lpwstr>2052-11.1.0.14036</vt:lpwstr>
  </property>
  <property fmtid="{D5CDD505-2E9C-101B-9397-08002B2CF9AE}" pid="5" name="ICV">
    <vt:lpwstr>C2FB6414C8FC41929C7ED48BE69B5C0C</vt:lpwstr>
  </property>
</Properties>
</file>