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ascii="方正仿宋_GBK" w:eastAsia="方正仿宋_GBK"/>
          <w:b/>
          <w:bCs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姓    名</w:t>
      </w:r>
      <w:r>
        <w:rPr>
          <w:rFonts w:hint="eastAsia" w:ascii="方正楷体_GBK" w:eastAsia="方正楷体_GBK"/>
          <w:b/>
          <w:bCs/>
          <w:sz w:val="32"/>
          <w:szCs w:val="32"/>
          <w:u w:val="single"/>
        </w:rPr>
        <w:t xml:space="preserve">            周 尚 君               </w:t>
      </w:r>
    </w:p>
    <w:p>
      <w:pPr>
        <w:snapToGrid w:val="0"/>
        <w:rPr>
          <w:rFonts w:ascii="方正仿宋_GBK" w:eastAsia="方正仿宋_GBK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ascii="方正仿宋_GBK" w:eastAsia="方正仿宋_GBK"/>
          <w:b/>
          <w:bCs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工作单位</w:t>
      </w:r>
      <w:r>
        <w:rPr>
          <w:rFonts w:hint="eastAsia" w:ascii="方正楷体_GBK" w:eastAsia="方正楷体_GBK"/>
          <w:b/>
          <w:bCs/>
          <w:sz w:val="32"/>
          <w:szCs w:val="32"/>
          <w:u w:val="single"/>
        </w:rPr>
        <w:t xml:space="preserve">          西南政法大学             </w:t>
      </w:r>
    </w:p>
    <w:p>
      <w:pPr>
        <w:snapToGrid w:val="0"/>
        <w:rPr>
          <w:rFonts w:ascii="方正仿宋_GBK" w:eastAsia="方正仿宋_GBK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ascii="方正楷体_GBK" w:eastAsia="方正楷体_GBK"/>
          <w:b/>
          <w:bCs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推荐单位</w:t>
      </w:r>
      <w:r>
        <w:rPr>
          <w:rFonts w:hint="eastAsia" w:ascii="方正楷体_GBK" w:eastAsia="方正楷体_GBK"/>
          <w:b/>
          <w:bCs/>
          <w:sz w:val="32"/>
          <w:szCs w:val="32"/>
          <w:u w:val="single"/>
        </w:rPr>
        <w:t xml:space="preserve">   中国法学会法理学研究会</w:t>
      </w:r>
      <w:r>
        <w:rPr>
          <w:rFonts w:hint="default" w:ascii="方正楷体_GBK" w:eastAsia="方正楷体_GBK"/>
          <w:b/>
          <w:bCs/>
          <w:sz w:val="32"/>
          <w:szCs w:val="32"/>
          <w:u w:val="single"/>
        </w:rPr>
        <w:t xml:space="preserve">           </w:t>
      </w:r>
    </w:p>
    <w:p>
      <w:pPr>
        <w:snapToGrid w:val="0"/>
        <w:ind w:left="2100" w:leftChars="0" w:firstLine="420" w:firstLineChars="0"/>
        <w:jc w:val="both"/>
        <w:rPr>
          <w:rFonts w:hint="default" w:ascii="方正仿宋_GBK" w:eastAsia="方正仿宋_GBK"/>
          <w:b/>
          <w:bCs/>
          <w:sz w:val="32"/>
          <w:szCs w:val="32"/>
          <w:u w:val="single"/>
        </w:rPr>
      </w:pPr>
      <w:r>
        <w:rPr>
          <w:rFonts w:hint="eastAsia" w:ascii="方正楷体_GBK" w:eastAsia="方正楷体_GBK"/>
          <w:b/>
          <w:bCs/>
          <w:sz w:val="32"/>
          <w:szCs w:val="32"/>
          <w:u w:val="single"/>
          <w:lang w:val="en-US" w:eastAsia="zh-Hans"/>
        </w:rPr>
        <w:t>西南政法大学</w:t>
      </w:r>
      <w:r>
        <w:rPr>
          <w:rFonts w:hint="default" w:ascii="方正楷体_GBK" w:eastAsia="方正楷体_GBK"/>
          <w:b/>
          <w:bCs/>
          <w:sz w:val="32"/>
          <w:szCs w:val="32"/>
          <w:u w:val="single"/>
          <w:lang w:eastAsia="zh-Hans"/>
        </w:rPr>
        <w:t xml:space="preserve">                  </w:t>
      </w:r>
    </w:p>
    <w:p>
      <w:pPr>
        <w:snapToGrid w:val="0"/>
        <w:rPr>
          <w:rFonts w:ascii="方正仿宋_GBK" w:eastAsia="方正仿宋_GBK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</w:t>
      </w:r>
      <w:r>
        <w:rPr>
          <w:rFonts w:hint="eastAsia" w:ascii="仿宋" w:hAnsi="仿宋" w:eastAsia="仿宋"/>
          <w:b/>
          <w:bCs/>
          <w:sz w:val="28"/>
          <w:szCs w:val="28"/>
        </w:rPr>
        <w:t>2023年3月20日</w:t>
      </w:r>
      <w:r>
        <w:rPr>
          <w:rFonts w:hint="eastAsia" w:ascii="仿宋" w:hAnsi="仿宋" w:eastAsia="仿宋"/>
          <w:sz w:val="28"/>
          <w:szCs w:val="28"/>
        </w:rPr>
        <w:t>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eastAsia="华文中宋"/>
                <w:b/>
                <w:color w:val="000000"/>
                <w:sz w:val="30"/>
                <w:szCs w:val="30"/>
              </w:rPr>
            </w:pPr>
            <w:r>
              <w:rPr>
                <w:rFonts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周尚君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drawing>
                <wp:inline distT="0" distB="0" distL="0" distR="0">
                  <wp:extent cx="1149350" cy="160591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53" cy="160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1979.10.23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九三学社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科研处处长</w:t>
            </w:r>
          </w:p>
          <w:p>
            <w:pPr>
              <w:snapToGrid w:val="0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立法研究院院长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西南政法大学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重庆市渝北区宝圣大道301号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0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1.《法学观念史论稿》（独著），法律出版社</w:t>
            </w:r>
            <w:r>
              <w:rPr>
                <w:rFonts w:eastAsia="方正楷体_GBK"/>
                <w:b/>
                <w:sz w:val="24"/>
              </w:rPr>
              <w:t xml:space="preserve">2014年版，26万字； 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2.《自由主义之后的自由》（独著），法律出版社</w:t>
            </w:r>
            <w:r>
              <w:rPr>
                <w:rFonts w:hint="eastAsia" w:eastAsia="方正楷体_GBK"/>
                <w:b/>
                <w:sz w:val="24"/>
              </w:rPr>
              <w:t>2</w:t>
            </w:r>
            <w:r>
              <w:rPr>
                <w:rFonts w:eastAsia="方正楷体_GBK"/>
                <w:b/>
                <w:sz w:val="24"/>
              </w:rPr>
              <w:t>010年版，</w:t>
            </w:r>
            <w:r>
              <w:rPr>
                <w:rFonts w:hint="eastAsia" w:eastAsia="方正楷体_GBK"/>
                <w:b/>
                <w:sz w:val="24"/>
              </w:rPr>
              <w:t>2</w:t>
            </w:r>
            <w:r>
              <w:rPr>
                <w:rFonts w:eastAsia="方正楷体_GBK"/>
                <w:b/>
                <w:sz w:val="24"/>
              </w:rPr>
              <w:t>0万字；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3.《地方政府的价值治理及其制度效能》，《中国社会科学》2021年第5期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《新华文摘》2021年第16期全文转载；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《高等学校文科学术文摘》2021年第4期转载；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中国人民大学复印报刊资料《公共行政》2021年第8期全文转载；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获重庆市第二届法学优秀成果奖一等奖；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获西南政法大学代表性学术成果；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截至2023年1月31日，被引次数23次；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4.《地方法治竞争范式及其制度约束》，《中国法学》2017年第3期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获西南政法大学社会科学优秀成果一等奖；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截至2023年1月31日，被引次数83次；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5.《地方法治试验的动力机制与制度前景》，《中国法学》2014年第2期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中国人民大学复印报刊资料《法理学 法史学》2014年第7期全文转载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获重庆市第十届社会科学优秀成果奖一等奖；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截至2023年1月31日，被引次数123次；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6.《党管政法：党与政法关系的演进》，《法学研究》2017年第1期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中国人民大学复印报刊资料《中国共产党》2017年第5期全文转载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截至2023年1月31日，被引次数86次；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7.《中国立法体制的组织生成与制度逻辑》，《学术月刊》2020年第11期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中国人民大学复印报刊资料《法理学 法史学》2021年第2期全文转载</w:t>
            </w:r>
          </w:p>
          <w:p>
            <w:pPr>
              <w:spacing w:line="50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截至2023年1月31日，被引次数14次。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获得奖项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1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第九届全国杰出青年法学家</w:t>
            </w:r>
            <w:r>
              <w:rPr>
                <w:rFonts w:hint="eastAsia" w:eastAsia="方正楷体_GBK"/>
                <w:sz w:val="24"/>
              </w:rPr>
              <w:t>提名奖，2</w:t>
            </w:r>
            <w:r>
              <w:rPr>
                <w:rFonts w:eastAsia="方正楷体_GBK"/>
                <w:sz w:val="24"/>
              </w:rPr>
              <w:t>021，国家级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2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第四批国家“万人计划”</w:t>
            </w:r>
            <w:r>
              <w:rPr>
                <w:rFonts w:hint="eastAsia" w:eastAsia="方正楷体_GBK"/>
                <w:sz w:val="24"/>
              </w:rPr>
              <w:t>青年拔尖人才，2</w:t>
            </w:r>
            <w:r>
              <w:rPr>
                <w:rFonts w:eastAsia="方正楷体_GBK"/>
                <w:sz w:val="24"/>
              </w:rPr>
              <w:t>019，国家级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3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首届国家优秀教材奖</w:t>
            </w:r>
            <w:r>
              <w:rPr>
                <w:rFonts w:hint="eastAsia" w:eastAsia="方正楷体_GBK"/>
                <w:sz w:val="24"/>
              </w:rPr>
              <w:t>二等奖，2</w:t>
            </w:r>
            <w:r>
              <w:rPr>
                <w:rFonts w:eastAsia="方正楷体_GBK"/>
                <w:sz w:val="24"/>
              </w:rPr>
              <w:t>022，国家级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4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第三届重庆市学术技术带头人</w:t>
            </w:r>
            <w:r>
              <w:rPr>
                <w:rFonts w:hint="eastAsia" w:eastAsia="方正楷体_GBK"/>
                <w:sz w:val="24"/>
              </w:rPr>
              <w:t>，2</w:t>
            </w:r>
            <w:r>
              <w:rPr>
                <w:rFonts w:eastAsia="方正楷体_GBK"/>
                <w:sz w:val="24"/>
              </w:rPr>
              <w:t>019，省部级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5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第二届重庆市青年专家工作室</w:t>
            </w:r>
            <w:r>
              <w:rPr>
                <w:rFonts w:hint="eastAsia" w:eastAsia="方正楷体_GBK"/>
                <w:sz w:val="24"/>
              </w:rPr>
              <w:t>领衔专家，2</w:t>
            </w:r>
            <w:r>
              <w:rPr>
                <w:rFonts w:eastAsia="方正楷体_GBK"/>
                <w:sz w:val="24"/>
              </w:rPr>
              <w:t>019，省部级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6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第二届重庆市“高层次人才特殊支持计划”</w:t>
            </w:r>
            <w:r>
              <w:rPr>
                <w:rFonts w:hint="eastAsia" w:eastAsia="方正楷体_GBK"/>
                <w:sz w:val="24"/>
              </w:rPr>
              <w:t>青年拔尖人才，2</w:t>
            </w:r>
            <w:r>
              <w:rPr>
                <w:rFonts w:eastAsia="方正楷体_GBK"/>
                <w:sz w:val="24"/>
              </w:rPr>
              <w:t>017，省部级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7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重庆市第十届社会科学优秀成果奖</w:t>
            </w:r>
            <w:r>
              <w:rPr>
                <w:rFonts w:hint="eastAsia" w:eastAsia="方正楷体_GBK"/>
                <w:sz w:val="24"/>
              </w:rPr>
              <w:t>一等奖，2</w:t>
            </w:r>
            <w:r>
              <w:rPr>
                <w:rFonts w:eastAsia="方正楷体_GBK"/>
                <w:sz w:val="24"/>
              </w:rPr>
              <w:t>020，省部级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8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重庆市第十一届社会科学优秀成果奖</w:t>
            </w:r>
            <w:r>
              <w:rPr>
                <w:rFonts w:hint="eastAsia" w:eastAsia="方正楷体_GBK"/>
                <w:sz w:val="24"/>
              </w:rPr>
              <w:t>三等奖，2</w:t>
            </w:r>
            <w:r>
              <w:rPr>
                <w:rFonts w:eastAsia="方正楷体_GBK"/>
                <w:sz w:val="24"/>
              </w:rPr>
              <w:t>022，省部级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9</w:t>
            </w:r>
            <w:r>
              <w:rPr>
                <w:rFonts w:eastAsia="方正楷体_GBK"/>
                <w:b/>
                <w:bCs/>
                <w:sz w:val="24"/>
              </w:rPr>
              <w:t>.</w:t>
            </w:r>
            <w:r>
              <w:rPr>
                <w:rFonts w:hint="eastAsia" w:eastAsia="方正楷体_GBK"/>
                <w:b/>
                <w:bCs/>
                <w:sz w:val="24"/>
              </w:rPr>
              <w:t>重庆市第二届法学优秀成果奖</w:t>
            </w:r>
            <w:r>
              <w:rPr>
                <w:rFonts w:hint="eastAsia" w:eastAsia="方正楷体_GBK"/>
                <w:sz w:val="24"/>
              </w:rPr>
              <w:t>一等奖，2</w:t>
            </w:r>
            <w:r>
              <w:rPr>
                <w:rFonts w:eastAsia="方正楷体_GBK"/>
                <w:sz w:val="24"/>
              </w:rPr>
              <w:t>022，省部级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1</w:t>
            </w:r>
            <w:r>
              <w:rPr>
                <w:rFonts w:eastAsia="方正楷体_GBK"/>
                <w:b/>
                <w:bCs/>
                <w:sz w:val="24"/>
              </w:rPr>
              <w:t>0.</w:t>
            </w:r>
            <w:r>
              <w:rPr>
                <w:rFonts w:hint="eastAsia" w:eastAsia="方正楷体_GBK"/>
                <w:b/>
                <w:bCs/>
                <w:sz w:val="24"/>
              </w:rPr>
              <w:t>重庆市优秀博士论文</w:t>
            </w:r>
            <w:r>
              <w:rPr>
                <w:rFonts w:hint="eastAsia" w:eastAsia="方正楷体_GBK"/>
                <w:sz w:val="24"/>
              </w:rPr>
              <w:t>，2009，省部级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1</w:t>
            </w:r>
            <w:r>
              <w:rPr>
                <w:rFonts w:eastAsia="方正楷体_GBK"/>
                <w:b/>
                <w:bCs/>
                <w:sz w:val="24"/>
              </w:rPr>
              <w:t>1.</w:t>
            </w:r>
            <w:r>
              <w:rPr>
                <w:rFonts w:hint="eastAsia" w:eastAsia="方正楷体_GBK"/>
                <w:b/>
                <w:bCs/>
                <w:sz w:val="24"/>
              </w:rPr>
              <w:t>第一届孙国华法学理论青年优秀学术成果</w:t>
            </w:r>
            <w:r>
              <w:rPr>
                <w:rFonts w:hint="eastAsia" w:eastAsia="方正楷体_GBK"/>
                <w:sz w:val="24"/>
              </w:rPr>
              <w:t>一等奖，2012，行业学会奖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1</w:t>
            </w:r>
            <w:r>
              <w:rPr>
                <w:rFonts w:eastAsia="方正楷体_GBK"/>
                <w:b/>
                <w:bCs/>
                <w:sz w:val="24"/>
              </w:rPr>
              <w:t>2.</w:t>
            </w:r>
            <w:r>
              <w:rPr>
                <w:rFonts w:hint="eastAsia" w:eastAsia="方正楷体_GBK"/>
                <w:b/>
                <w:bCs/>
                <w:sz w:val="24"/>
              </w:rPr>
              <w:t>第二届孙国华法学理论青年优秀学术成果</w:t>
            </w:r>
            <w:r>
              <w:rPr>
                <w:rFonts w:hint="eastAsia" w:eastAsia="方正楷体_GBK"/>
                <w:sz w:val="24"/>
              </w:rPr>
              <w:t>一等奖，2014，行业学会奖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1</w:t>
            </w:r>
            <w:r>
              <w:rPr>
                <w:rFonts w:eastAsia="方正楷体_GBK"/>
                <w:b/>
                <w:bCs/>
                <w:sz w:val="24"/>
              </w:rPr>
              <w:t>3.</w:t>
            </w:r>
            <w:r>
              <w:rPr>
                <w:rFonts w:hint="eastAsia" w:eastAsia="方正楷体_GBK"/>
                <w:b/>
                <w:bCs/>
                <w:sz w:val="24"/>
              </w:rPr>
              <w:t>中国法学家论坛</w:t>
            </w:r>
            <w:r>
              <w:rPr>
                <w:rFonts w:hint="eastAsia" w:eastAsia="方正楷体_GBK"/>
                <w:sz w:val="24"/>
              </w:rPr>
              <w:t>三等奖，2013，行业学会奖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b/>
                <w:bCs/>
                <w:sz w:val="24"/>
              </w:rPr>
              <w:t>1</w:t>
            </w:r>
            <w:r>
              <w:rPr>
                <w:rFonts w:eastAsia="方正楷体_GBK"/>
                <w:b/>
                <w:bCs/>
                <w:sz w:val="24"/>
              </w:rPr>
              <w:t>4.</w:t>
            </w:r>
            <w:r>
              <w:rPr>
                <w:rFonts w:hint="eastAsia" w:eastAsia="方正楷体_GBK"/>
                <w:b/>
                <w:bCs/>
                <w:sz w:val="24"/>
              </w:rPr>
              <w:t>方德法治研究奖</w:t>
            </w:r>
            <w:r>
              <w:rPr>
                <w:rFonts w:hint="eastAsia" w:eastAsia="方正楷体_GBK"/>
                <w:sz w:val="24"/>
              </w:rPr>
              <w:t>三等奖，2</w:t>
            </w:r>
            <w:r>
              <w:rPr>
                <w:rFonts w:eastAsia="方正楷体_GBK"/>
                <w:sz w:val="24"/>
              </w:rPr>
              <w:t>022</w:t>
            </w:r>
            <w:r>
              <w:rPr>
                <w:rFonts w:hint="eastAsia" w:eastAsia="方正楷体_GBK"/>
                <w:sz w:val="24"/>
              </w:rPr>
              <w:t>，民间学术奖</w:t>
            </w:r>
          </w:p>
          <w:p>
            <w:pPr>
              <w:spacing w:line="440" w:lineRule="exact"/>
              <w:ind w:firstLine="480" w:firstLineChars="200"/>
              <w:rPr>
                <w:rFonts w:eastAsia="方正楷体_GBK"/>
                <w:b/>
                <w:bCs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2A0BC92-DB5A-4FD6-A6D7-73DB387A6C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AFCA48F-6974-4304-B341-638F97E2BB5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57171CC-2368-4C1A-8EEE-4017A665C608}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6BFDC60F-9F32-44E3-BC68-912DA648588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65B11EDD-812D-4FE8-9BCF-F61A2563136C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DEFC8554-F9F3-4F66-9218-70449D7C67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61336A3-7DA9-4AAA-8AC5-4225B37757D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8790048F-3D72-4D5B-AA3B-BE4A85B03ABE}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  <w:embedRegular r:id="rId9" w:fontKey="{F39F1BD4-2B36-4253-915B-26B105C68BA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0" w:fontKey="{802EF3DB-DA5B-4E4E-9CF6-5877B41786A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38F8"/>
    <w:rsid w:val="00007299"/>
    <w:rsid w:val="00023D87"/>
    <w:rsid w:val="00025991"/>
    <w:rsid w:val="00027BA8"/>
    <w:rsid w:val="00062B74"/>
    <w:rsid w:val="00067A44"/>
    <w:rsid w:val="00070F27"/>
    <w:rsid w:val="00080C99"/>
    <w:rsid w:val="000826D3"/>
    <w:rsid w:val="00092E6B"/>
    <w:rsid w:val="000A42E6"/>
    <w:rsid w:val="000D055B"/>
    <w:rsid w:val="000D4EB1"/>
    <w:rsid w:val="000E1C45"/>
    <w:rsid w:val="000E7E52"/>
    <w:rsid w:val="000F1D86"/>
    <w:rsid w:val="000F2687"/>
    <w:rsid w:val="000F77D0"/>
    <w:rsid w:val="001101F4"/>
    <w:rsid w:val="001112AB"/>
    <w:rsid w:val="0012289A"/>
    <w:rsid w:val="0015112A"/>
    <w:rsid w:val="00156869"/>
    <w:rsid w:val="00162299"/>
    <w:rsid w:val="001716E1"/>
    <w:rsid w:val="001903D4"/>
    <w:rsid w:val="00190951"/>
    <w:rsid w:val="00195220"/>
    <w:rsid w:val="001957F9"/>
    <w:rsid w:val="001A34F9"/>
    <w:rsid w:val="001C496C"/>
    <w:rsid w:val="001E11AF"/>
    <w:rsid w:val="001F37FE"/>
    <w:rsid w:val="00206E9E"/>
    <w:rsid w:val="002159E3"/>
    <w:rsid w:val="002372AE"/>
    <w:rsid w:val="00237484"/>
    <w:rsid w:val="0026464F"/>
    <w:rsid w:val="0028654B"/>
    <w:rsid w:val="00286A0B"/>
    <w:rsid w:val="002A5843"/>
    <w:rsid w:val="002B07AA"/>
    <w:rsid w:val="002D5A7C"/>
    <w:rsid w:val="00301AF1"/>
    <w:rsid w:val="00312D4D"/>
    <w:rsid w:val="00331EB6"/>
    <w:rsid w:val="00371E31"/>
    <w:rsid w:val="003730C1"/>
    <w:rsid w:val="003818FB"/>
    <w:rsid w:val="00386FB2"/>
    <w:rsid w:val="003A75C0"/>
    <w:rsid w:val="003B2D99"/>
    <w:rsid w:val="003D166B"/>
    <w:rsid w:val="003E146D"/>
    <w:rsid w:val="003E1B7A"/>
    <w:rsid w:val="00401806"/>
    <w:rsid w:val="004067F6"/>
    <w:rsid w:val="004173F5"/>
    <w:rsid w:val="00423DA8"/>
    <w:rsid w:val="00424B44"/>
    <w:rsid w:val="00432D5F"/>
    <w:rsid w:val="00442334"/>
    <w:rsid w:val="0044382F"/>
    <w:rsid w:val="00460746"/>
    <w:rsid w:val="00465630"/>
    <w:rsid w:val="0047344C"/>
    <w:rsid w:val="00474EA1"/>
    <w:rsid w:val="00475DBE"/>
    <w:rsid w:val="00483F33"/>
    <w:rsid w:val="004B0C2E"/>
    <w:rsid w:val="004B230D"/>
    <w:rsid w:val="004B6151"/>
    <w:rsid w:val="004C2992"/>
    <w:rsid w:val="00504B2D"/>
    <w:rsid w:val="0052358C"/>
    <w:rsid w:val="00547D06"/>
    <w:rsid w:val="005540A5"/>
    <w:rsid w:val="005629A4"/>
    <w:rsid w:val="00566031"/>
    <w:rsid w:val="00573C2B"/>
    <w:rsid w:val="0058460A"/>
    <w:rsid w:val="005979AC"/>
    <w:rsid w:val="005B0242"/>
    <w:rsid w:val="005B43F4"/>
    <w:rsid w:val="005C0334"/>
    <w:rsid w:val="005C7692"/>
    <w:rsid w:val="005F4226"/>
    <w:rsid w:val="00600B77"/>
    <w:rsid w:val="00611038"/>
    <w:rsid w:val="00666CA3"/>
    <w:rsid w:val="00691184"/>
    <w:rsid w:val="0069494D"/>
    <w:rsid w:val="006B515F"/>
    <w:rsid w:val="006D2E7F"/>
    <w:rsid w:val="006E6BFB"/>
    <w:rsid w:val="006E6F25"/>
    <w:rsid w:val="006F5887"/>
    <w:rsid w:val="006F65C6"/>
    <w:rsid w:val="00705D0E"/>
    <w:rsid w:val="0071355E"/>
    <w:rsid w:val="00725056"/>
    <w:rsid w:val="00734847"/>
    <w:rsid w:val="00736E90"/>
    <w:rsid w:val="007478FE"/>
    <w:rsid w:val="00775619"/>
    <w:rsid w:val="00777F73"/>
    <w:rsid w:val="007B1FAE"/>
    <w:rsid w:val="007B6C8B"/>
    <w:rsid w:val="007C15F6"/>
    <w:rsid w:val="007C425C"/>
    <w:rsid w:val="007C7692"/>
    <w:rsid w:val="007E038F"/>
    <w:rsid w:val="007E3219"/>
    <w:rsid w:val="007F04FC"/>
    <w:rsid w:val="007F0EE5"/>
    <w:rsid w:val="00805470"/>
    <w:rsid w:val="00810764"/>
    <w:rsid w:val="0082005E"/>
    <w:rsid w:val="008364A5"/>
    <w:rsid w:val="00843066"/>
    <w:rsid w:val="00846385"/>
    <w:rsid w:val="00870A07"/>
    <w:rsid w:val="008839A5"/>
    <w:rsid w:val="00897738"/>
    <w:rsid w:val="008D4F62"/>
    <w:rsid w:val="008D7C94"/>
    <w:rsid w:val="008F2BB3"/>
    <w:rsid w:val="00907667"/>
    <w:rsid w:val="00907C83"/>
    <w:rsid w:val="0091337E"/>
    <w:rsid w:val="00935AE4"/>
    <w:rsid w:val="00935D50"/>
    <w:rsid w:val="00961F34"/>
    <w:rsid w:val="009628B6"/>
    <w:rsid w:val="00984D73"/>
    <w:rsid w:val="0098523C"/>
    <w:rsid w:val="00986D3D"/>
    <w:rsid w:val="009B06D7"/>
    <w:rsid w:val="009C606C"/>
    <w:rsid w:val="009D10F0"/>
    <w:rsid w:val="009E6CBC"/>
    <w:rsid w:val="00A104D2"/>
    <w:rsid w:val="00A17894"/>
    <w:rsid w:val="00A23131"/>
    <w:rsid w:val="00A24865"/>
    <w:rsid w:val="00A3658A"/>
    <w:rsid w:val="00A4629D"/>
    <w:rsid w:val="00A46C41"/>
    <w:rsid w:val="00A7058C"/>
    <w:rsid w:val="00A763D1"/>
    <w:rsid w:val="00A7798B"/>
    <w:rsid w:val="00AC7925"/>
    <w:rsid w:val="00AD2A42"/>
    <w:rsid w:val="00AE3C36"/>
    <w:rsid w:val="00AF27E3"/>
    <w:rsid w:val="00AF2FFE"/>
    <w:rsid w:val="00B01595"/>
    <w:rsid w:val="00B07177"/>
    <w:rsid w:val="00B07305"/>
    <w:rsid w:val="00B13C61"/>
    <w:rsid w:val="00B16234"/>
    <w:rsid w:val="00B167B2"/>
    <w:rsid w:val="00B30F57"/>
    <w:rsid w:val="00B33495"/>
    <w:rsid w:val="00B42B6B"/>
    <w:rsid w:val="00B438CB"/>
    <w:rsid w:val="00B46B2B"/>
    <w:rsid w:val="00B6345D"/>
    <w:rsid w:val="00B72F7D"/>
    <w:rsid w:val="00B736D1"/>
    <w:rsid w:val="00B74B12"/>
    <w:rsid w:val="00B81927"/>
    <w:rsid w:val="00B840E1"/>
    <w:rsid w:val="00B8756C"/>
    <w:rsid w:val="00BA025A"/>
    <w:rsid w:val="00BA0384"/>
    <w:rsid w:val="00BA6828"/>
    <w:rsid w:val="00BD5C88"/>
    <w:rsid w:val="00BF6E64"/>
    <w:rsid w:val="00C1762E"/>
    <w:rsid w:val="00C25689"/>
    <w:rsid w:val="00C46E29"/>
    <w:rsid w:val="00C54E03"/>
    <w:rsid w:val="00C5705D"/>
    <w:rsid w:val="00C57D10"/>
    <w:rsid w:val="00C60FB5"/>
    <w:rsid w:val="00C67850"/>
    <w:rsid w:val="00CA01B9"/>
    <w:rsid w:val="00CA6644"/>
    <w:rsid w:val="00CC145C"/>
    <w:rsid w:val="00CC1BB2"/>
    <w:rsid w:val="00CC33C1"/>
    <w:rsid w:val="00CD2AEB"/>
    <w:rsid w:val="00CE102F"/>
    <w:rsid w:val="00CF1606"/>
    <w:rsid w:val="00CF5113"/>
    <w:rsid w:val="00CF5E6C"/>
    <w:rsid w:val="00D61C6D"/>
    <w:rsid w:val="00D62F2F"/>
    <w:rsid w:val="00D65F99"/>
    <w:rsid w:val="00D76E86"/>
    <w:rsid w:val="00D8401C"/>
    <w:rsid w:val="00D9410D"/>
    <w:rsid w:val="00DA43AC"/>
    <w:rsid w:val="00DB04D7"/>
    <w:rsid w:val="00DB2E88"/>
    <w:rsid w:val="00DB2FC9"/>
    <w:rsid w:val="00DC41D2"/>
    <w:rsid w:val="00DC72E5"/>
    <w:rsid w:val="00DD4DFA"/>
    <w:rsid w:val="00DE5045"/>
    <w:rsid w:val="00E03088"/>
    <w:rsid w:val="00E05EC6"/>
    <w:rsid w:val="00E13A77"/>
    <w:rsid w:val="00E1703F"/>
    <w:rsid w:val="00E1730B"/>
    <w:rsid w:val="00E25328"/>
    <w:rsid w:val="00E42364"/>
    <w:rsid w:val="00E42B64"/>
    <w:rsid w:val="00E42EC4"/>
    <w:rsid w:val="00E63F01"/>
    <w:rsid w:val="00E8020F"/>
    <w:rsid w:val="00E97375"/>
    <w:rsid w:val="00EB5086"/>
    <w:rsid w:val="00EC0742"/>
    <w:rsid w:val="00EC6C27"/>
    <w:rsid w:val="00ED5086"/>
    <w:rsid w:val="00EE730E"/>
    <w:rsid w:val="00F06D30"/>
    <w:rsid w:val="00F12104"/>
    <w:rsid w:val="00F3592C"/>
    <w:rsid w:val="00F71C27"/>
    <w:rsid w:val="00F9516F"/>
    <w:rsid w:val="00F97636"/>
    <w:rsid w:val="00FB06D9"/>
    <w:rsid w:val="00FB525E"/>
    <w:rsid w:val="00FD4736"/>
    <w:rsid w:val="00FE5672"/>
    <w:rsid w:val="00FE7D1E"/>
    <w:rsid w:val="033D4768"/>
    <w:rsid w:val="074F1149"/>
    <w:rsid w:val="087D7893"/>
    <w:rsid w:val="0A2A0421"/>
    <w:rsid w:val="120945EA"/>
    <w:rsid w:val="1EBD9178"/>
    <w:rsid w:val="2072060B"/>
    <w:rsid w:val="229A18BD"/>
    <w:rsid w:val="25BC39F6"/>
    <w:rsid w:val="29020E1A"/>
    <w:rsid w:val="2CE35D0C"/>
    <w:rsid w:val="2CEFB339"/>
    <w:rsid w:val="2DE55B54"/>
    <w:rsid w:val="2EFBBC48"/>
    <w:rsid w:val="30766E97"/>
    <w:rsid w:val="3A045513"/>
    <w:rsid w:val="3B9D0C2F"/>
    <w:rsid w:val="3BBF1B45"/>
    <w:rsid w:val="3DFF8C80"/>
    <w:rsid w:val="3EBC28DB"/>
    <w:rsid w:val="3FAC72FC"/>
    <w:rsid w:val="3FDF6C0E"/>
    <w:rsid w:val="3FE95ABC"/>
    <w:rsid w:val="4ADF590D"/>
    <w:rsid w:val="5144471C"/>
    <w:rsid w:val="519B6306"/>
    <w:rsid w:val="567C6706"/>
    <w:rsid w:val="56EEFD7E"/>
    <w:rsid w:val="57B74E1B"/>
    <w:rsid w:val="58BC4697"/>
    <w:rsid w:val="591FD8F5"/>
    <w:rsid w:val="5AAC40BB"/>
    <w:rsid w:val="5B3C46B5"/>
    <w:rsid w:val="5B6854AA"/>
    <w:rsid w:val="5DD32290"/>
    <w:rsid w:val="5DF46E1D"/>
    <w:rsid w:val="5DFEE7D4"/>
    <w:rsid w:val="5F3743E3"/>
    <w:rsid w:val="5FBC2178"/>
    <w:rsid w:val="6F9B4CF3"/>
    <w:rsid w:val="6FAF0381"/>
    <w:rsid w:val="6FFF2EC6"/>
    <w:rsid w:val="788449C2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EF644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4501</Words>
  <Characters>5248</Characters>
  <Lines>56</Lines>
  <Paragraphs>15</Paragraphs>
  <TotalTime>33</TotalTime>
  <ScaleCrop>false</ScaleCrop>
  <LinksUpToDate>false</LinksUpToDate>
  <CharactersWithSpaces>5391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2022-12-28T11:44:00Z</dcterms:created>
  <dc:creator>fxhuser</dc:creator>
  <cp:lastModifiedBy>执牛耳</cp:lastModifiedBy>
  <cp:lastPrinted>2022-12-28T08:41:00Z</cp:lastPrinted>
  <dcterms:modified xsi:type="dcterms:W3CDTF">2023-04-27T08:14:51Z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FC96AF0667B6473484646904CB4F1683</vt:lpwstr>
  </property>
</Properties>
</file>