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40" w:lineRule="exact"/>
        <w:rPr>
          <w:rFonts w:ascii="仿宋_GB2312" w:hAnsi="宋体" w:eastAsia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附件2</w:t>
      </w:r>
    </w:p>
    <w:p>
      <w:pPr>
        <w:jc w:val="center"/>
        <w:rPr>
          <w:rFonts w:ascii="宋体" w:hAnsi="宋体"/>
          <w:b/>
          <w:bCs/>
          <w:sz w:val="32"/>
          <w:szCs w:val="32"/>
        </w:rPr>
      </w:pPr>
    </w:p>
    <w:p>
      <w:pPr>
        <w:jc w:val="center"/>
      </w:pPr>
    </w:p>
    <w:p>
      <w:pPr>
        <w:jc w:val="center"/>
      </w:pPr>
      <w:r>
        <w:drawing>
          <wp:inline distT="0" distB="0" distL="0" distR="0">
            <wp:extent cx="1483995" cy="1428750"/>
            <wp:effectExtent l="0" t="0" r="1905" b="0"/>
            <wp:docPr id="3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true" noChangeArrowheads="true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spacing w:line="700" w:lineRule="exact"/>
        <w:jc w:val="center"/>
        <w:rPr>
          <w:rFonts w:ascii="方正小标宋_GBK" w:eastAsia="方正小标宋_GBK"/>
          <w:b/>
          <w:bCs/>
          <w:sz w:val="44"/>
          <w:szCs w:val="44"/>
        </w:rPr>
      </w:pPr>
      <w:r>
        <w:rPr>
          <w:rFonts w:hint="eastAsia" w:ascii="方正小标宋_GBK" w:eastAsia="方正小标宋_GBK"/>
          <w:b/>
          <w:bCs/>
          <w:sz w:val="44"/>
          <w:szCs w:val="44"/>
        </w:rPr>
        <w:t>第十届“全国杰出青年法学家”</w:t>
      </w:r>
    </w:p>
    <w:p>
      <w:pPr>
        <w:spacing w:line="700" w:lineRule="exact"/>
        <w:jc w:val="center"/>
        <w:rPr>
          <w:rFonts w:ascii="方正小标宋_GBK" w:eastAsia="方正小标宋_GBK"/>
          <w:b/>
          <w:bCs/>
          <w:sz w:val="44"/>
          <w:szCs w:val="44"/>
        </w:rPr>
      </w:pPr>
      <w:r>
        <w:rPr>
          <w:rFonts w:hint="eastAsia" w:ascii="方正小标宋_GBK" w:eastAsia="方正小标宋_GBK"/>
          <w:b/>
          <w:bCs/>
          <w:sz w:val="44"/>
          <w:szCs w:val="44"/>
        </w:rPr>
        <w:t>推荐表</w:t>
      </w:r>
    </w:p>
    <w:p/>
    <w:p/>
    <w:p/>
    <w:p/>
    <w:p/>
    <w:p/>
    <w:p>
      <w:pPr>
        <w:snapToGrid w:val="0"/>
        <w:rPr>
          <w:sz w:val="28"/>
          <w:szCs w:val="28"/>
        </w:rPr>
      </w:pPr>
    </w:p>
    <w:p>
      <w:pPr>
        <w:snapToGrid w:val="0"/>
        <w:rPr>
          <w:sz w:val="28"/>
          <w:szCs w:val="28"/>
        </w:rPr>
      </w:pPr>
    </w:p>
    <w:p>
      <w:pPr>
        <w:snapToGrid w:val="0"/>
        <w:rPr>
          <w:sz w:val="28"/>
          <w:szCs w:val="28"/>
        </w:rPr>
      </w:pPr>
    </w:p>
    <w:p>
      <w:pPr>
        <w:snapToGrid w:val="0"/>
        <w:ind w:right="745" w:rightChars="355" w:firstLine="642" w:firstLineChars="200"/>
        <w:rPr>
          <w:rFonts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/>
          <w:b/>
          <w:bCs/>
          <w:sz w:val="32"/>
          <w:szCs w:val="32"/>
        </w:rPr>
        <w:t>姓    名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 竺效                    </w:t>
      </w:r>
    </w:p>
    <w:p>
      <w:pPr>
        <w:snapToGrid w:val="0"/>
        <w:ind w:right="745" w:rightChars="355"/>
        <w:rPr>
          <w:rFonts w:eastAsia="仿宋_GB2312"/>
          <w:b/>
          <w:bCs/>
          <w:sz w:val="28"/>
          <w:szCs w:val="28"/>
          <w:u w:val="single"/>
        </w:rPr>
      </w:pPr>
    </w:p>
    <w:p>
      <w:pPr>
        <w:snapToGrid w:val="0"/>
        <w:ind w:right="745" w:rightChars="355" w:firstLine="642" w:firstLineChars="200"/>
        <w:rPr>
          <w:rFonts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/>
          <w:b/>
          <w:bCs/>
          <w:sz w:val="32"/>
          <w:szCs w:val="32"/>
        </w:rPr>
        <w:t>工作单位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</w:t>
      </w:r>
      <w:r>
        <w:rPr>
          <w:rFonts w:eastAsia="仿宋_GB2312"/>
          <w:b/>
          <w:bCs/>
          <w:sz w:val="32"/>
          <w:szCs w:val="32"/>
          <w:u w:val="single"/>
        </w:rPr>
        <w:t xml:space="preserve">   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中国人民大学              </w:t>
      </w:r>
    </w:p>
    <w:p>
      <w:pPr>
        <w:snapToGrid w:val="0"/>
        <w:ind w:right="745" w:rightChars="355"/>
        <w:rPr>
          <w:rFonts w:eastAsia="仿宋_GB2312"/>
          <w:b/>
          <w:bCs/>
          <w:sz w:val="28"/>
          <w:szCs w:val="28"/>
          <w:u w:val="single"/>
        </w:rPr>
      </w:pPr>
    </w:p>
    <w:p>
      <w:pPr>
        <w:snapToGrid w:val="0"/>
        <w:ind w:right="745" w:rightChars="355" w:firstLine="642" w:firstLineChars="200"/>
        <w:rPr>
          <w:rFonts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/>
          <w:b/>
          <w:bCs/>
          <w:sz w:val="32"/>
          <w:szCs w:val="32"/>
        </w:rPr>
        <w:t>推荐单位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</w:t>
      </w:r>
      <w:r>
        <w:rPr>
          <w:rFonts w:hint="default" w:eastAsia="仿宋_GB2312"/>
          <w:b/>
          <w:bCs/>
          <w:sz w:val="32"/>
          <w:szCs w:val="32"/>
          <w:u w:val="single"/>
        </w:rPr>
        <w:t xml:space="preserve"> </w:t>
      </w:r>
      <w:r>
        <w:rPr>
          <w:rFonts w:hint="eastAsia" w:eastAsia="仿宋_GB2312"/>
          <w:b/>
          <w:bCs/>
          <w:sz w:val="32"/>
          <w:szCs w:val="32"/>
          <w:u w:val="single"/>
          <w:lang w:val="en-US" w:eastAsia="zh-Hans"/>
        </w:rPr>
        <w:t>中国法学会环境资源法学研究会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</w:t>
      </w: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ind w:firstLine="3360" w:firstLineChars="1050"/>
        <w:rPr>
          <w:rFonts w:ascii="宋体" w:hAnsi="Arial Narrow"/>
          <w:sz w:val="32"/>
          <w:szCs w:val="32"/>
        </w:rPr>
      </w:pPr>
      <w:r>
        <w:rPr>
          <w:rFonts w:hint="eastAsia" w:ascii="宋体" w:hAnsi="Arial Narrow"/>
          <w:sz w:val="32"/>
          <w:szCs w:val="32"/>
        </w:rPr>
        <w:t>中国法学会</w:t>
      </w:r>
    </w:p>
    <w:p>
      <w:pPr>
        <w:snapToGrid w:val="0"/>
        <w:jc w:val="center"/>
        <w:rPr>
          <w:rFonts w:eastAsia="仿宋_GB2312"/>
          <w:b/>
          <w:bCs/>
          <w:szCs w:val="21"/>
          <w:u w:val="single"/>
        </w:rPr>
      </w:pPr>
      <w:r>
        <w:rPr>
          <w:rFonts w:hint="eastAsia" w:ascii="宋体" w:hAnsi="Arial Narrow"/>
          <w:sz w:val="32"/>
          <w:szCs w:val="32"/>
        </w:rPr>
        <w:t>202</w:t>
      </w:r>
      <w:r>
        <w:rPr>
          <w:rFonts w:ascii="宋体" w:hAnsi="Arial Narrow"/>
          <w:sz w:val="32"/>
          <w:szCs w:val="32"/>
          <w:lang w:val="en"/>
        </w:rPr>
        <w:t>2</w:t>
      </w:r>
      <w:r>
        <w:rPr>
          <w:rFonts w:hint="eastAsia" w:ascii="宋体" w:hAnsi="Arial Narrow"/>
          <w:sz w:val="32"/>
          <w:szCs w:val="32"/>
        </w:rPr>
        <w:t>年</w:t>
      </w:r>
      <w:r>
        <w:rPr>
          <w:rFonts w:ascii="宋体" w:hAnsi="Arial Narrow"/>
          <w:sz w:val="32"/>
          <w:szCs w:val="32"/>
          <w:lang w:val="en"/>
        </w:rPr>
        <w:t>12</w:t>
      </w:r>
      <w:r>
        <w:rPr>
          <w:rFonts w:hint="eastAsia" w:ascii="宋体" w:hAnsi="Arial Narrow"/>
          <w:sz w:val="32"/>
          <w:szCs w:val="32"/>
        </w:rPr>
        <w:t>月印制</w:t>
      </w:r>
    </w:p>
    <w:p>
      <w:pPr>
        <w:snapToGrid w:val="0"/>
        <w:rPr>
          <w:rFonts w:eastAsia="仿宋_GB2312"/>
          <w:szCs w:val="21"/>
        </w:rPr>
      </w:pPr>
    </w:p>
    <w:p>
      <w:pPr>
        <w:spacing w:line="440" w:lineRule="exact"/>
        <w:jc w:val="center"/>
        <w:rPr>
          <w:rFonts w:ascii="Arial Narrow" w:hAnsi="Arial Narrow"/>
          <w:b/>
          <w:sz w:val="30"/>
        </w:rPr>
      </w:pPr>
    </w:p>
    <w:p>
      <w:pPr>
        <w:spacing w:line="44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填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表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说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明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numPr>
          <w:ilvl w:val="0"/>
          <w:numId w:val="1"/>
        </w:num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表一为推荐单位填写或指导推荐候选人填写，表二为推荐候选人工作单位上级党委（党组）填写并盖章，表三为推荐候选人工作单位上级纪检监察部门填写并盖章，表四为推荐单位填写并盖章。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例如，推荐候选人为某大学法学院教授的，表二应由该大学党委填写并盖章，表三应由该大学纪委填写并盖章，表四应由该大学法学院填写并盖章。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二、推荐单位需填写推荐评选委员会投票情况、推荐意见（每人500字以内）。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三、请用计算机填写，可根据实际需要分栏，但勿随意变动格式及字体字号。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四、请各推荐单位于2023年3月20日之前，将</w:t>
      </w:r>
      <w:r>
        <w:fldChar w:fldCharType="begin"/>
      </w:r>
      <w:r>
        <w:instrText xml:space="preserve"> HYPERLINK "mailto:本表电子版发至邮箱qnfxj2016@126.com" </w:instrText>
      </w:r>
      <w:r>
        <w:fldChar w:fldCharType="separate"/>
      </w:r>
      <w:r>
        <w:rPr>
          <w:rFonts w:hint="eastAsia" w:ascii="仿宋" w:hAnsi="仿宋" w:eastAsia="仿宋"/>
          <w:sz w:val="28"/>
          <w:szCs w:val="28"/>
        </w:rPr>
        <w:t>本表电子版发至指定邮箱</w:t>
      </w:r>
      <w:r>
        <w:rPr>
          <w:rFonts w:hint="eastAsia"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。纸质版以A4纸打印一式四份，连同推荐评选情况报告、推荐候选人身份证复印件、推荐候选人代表性学术专著1-2部（独著）、学术论文3-5篇（独著或第一作者）、重要荣誉证书或证明复印件各一式一份，寄至指定地址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联 系 人：魏丽莎 于晓航  010-66</w:t>
      </w:r>
      <w:r>
        <w:rPr>
          <w:rFonts w:ascii="仿宋" w:hAnsi="仿宋" w:eastAsia="仿宋"/>
          <w:color w:val="000000"/>
          <w:sz w:val="28"/>
          <w:szCs w:val="28"/>
          <w:lang w:val="en"/>
        </w:rPr>
        <w:t>1</w:t>
      </w:r>
      <w:r>
        <w:rPr>
          <w:rFonts w:hint="eastAsia" w:ascii="仿宋" w:hAnsi="仿宋" w:eastAsia="仿宋"/>
          <w:color w:val="000000"/>
          <w:sz w:val="28"/>
          <w:szCs w:val="28"/>
        </w:rPr>
        <w:t>23109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/>
          <w:spacing w:val="-6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邮寄地址：</w:t>
      </w:r>
      <w:r>
        <w:rPr>
          <w:rFonts w:hint="eastAsia" w:ascii="仿宋" w:hAnsi="仿宋" w:eastAsia="仿宋"/>
          <w:color w:val="000000"/>
          <w:spacing w:val="-6"/>
          <w:sz w:val="28"/>
          <w:szCs w:val="28"/>
        </w:rPr>
        <w:t>北京市海淀区皂君庙4号中国法学会研究部1334室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邮    编：100081</w:t>
      </w:r>
    </w:p>
    <w:p>
      <w:pPr>
        <w:snapToGrid w:val="0"/>
        <w:spacing w:line="56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电子邮箱：</w:t>
      </w:r>
      <w:r>
        <w:rPr>
          <w:rFonts w:hint="eastAsia" w:ascii="仿宋" w:hAnsi="仿宋" w:eastAsia="仿宋"/>
          <w:color w:val="000000"/>
          <w:sz w:val="28"/>
          <w:szCs w:val="28"/>
        </w:rPr>
        <w:fldChar w:fldCharType="begin"/>
      </w:r>
      <w:r>
        <w:rPr>
          <w:rFonts w:hint="eastAsia" w:ascii="仿宋" w:hAnsi="仿宋" w:eastAsia="仿宋"/>
          <w:color w:val="000000"/>
          <w:sz w:val="28"/>
          <w:szCs w:val="28"/>
        </w:rPr>
        <w:instrText xml:space="preserve"> HYPERLINK "mailto:qnfxj2022@163.com" </w:instrText>
      </w:r>
      <w:r>
        <w:rPr>
          <w:rFonts w:hint="eastAsia" w:ascii="仿宋" w:hAnsi="仿宋" w:eastAsia="仿宋"/>
          <w:color w:val="000000"/>
          <w:sz w:val="28"/>
          <w:szCs w:val="28"/>
        </w:rPr>
        <w:fldChar w:fldCharType="separate"/>
      </w:r>
      <w:r>
        <w:rPr>
          <w:rStyle w:val="7"/>
          <w:rFonts w:hint="eastAsia" w:ascii="仿宋" w:hAnsi="仿宋" w:eastAsia="仿宋"/>
          <w:color w:val="000000"/>
          <w:sz w:val="28"/>
          <w:szCs w:val="28"/>
        </w:rPr>
        <w:t>qnfxj2022@163.com</w:t>
      </w:r>
      <w:r>
        <w:rPr>
          <w:rFonts w:hint="eastAsia" w:ascii="仿宋" w:hAnsi="仿宋" w:eastAsia="仿宋"/>
          <w:color w:val="000000"/>
          <w:sz w:val="28"/>
          <w:szCs w:val="28"/>
        </w:rPr>
        <w:fldChar w:fldCharType="end"/>
      </w:r>
    </w:p>
    <w:p>
      <w:pPr>
        <w:snapToGrid w:val="0"/>
        <w:spacing w:line="56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rPr>
          <w:rFonts w:ascii="宋体" w:hAnsi="宋体"/>
          <w:b/>
          <w:bCs/>
          <w:color w:val="000000"/>
          <w:sz w:val="24"/>
        </w:rPr>
      </w:pPr>
    </w:p>
    <w:tbl>
      <w:tblPr>
        <w:tblStyle w:val="5"/>
        <w:tblpPr w:leftFromText="180" w:rightFromText="180" w:vertAnchor="text" w:horzAnchor="page" w:tblpX="1732" w:tblpY="-227"/>
        <w:tblOverlap w:val="never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104"/>
        <w:gridCol w:w="1276"/>
        <w:gridCol w:w="2016"/>
        <w:gridCol w:w="1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8784" w:type="dxa"/>
            <w:gridSpan w:val="5"/>
            <w:tcBorders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华文中宋" w:hAnsi="华文中宋" w:eastAsia="华文中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color w:val="000000"/>
                <w:sz w:val="30"/>
                <w:szCs w:val="30"/>
              </w:rPr>
              <w:t>表一：推荐候选人情况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6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姓    名</w:t>
            </w:r>
          </w:p>
        </w:tc>
        <w:tc>
          <w:tcPr>
            <w:tcW w:w="210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竺效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性    别</w:t>
            </w:r>
          </w:p>
        </w:tc>
        <w:tc>
          <w:tcPr>
            <w:tcW w:w="201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男</w:t>
            </w:r>
          </w:p>
        </w:tc>
        <w:tc>
          <w:tcPr>
            <w:tcW w:w="1768" w:type="dxa"/>
            <w:vMerge w:val="restart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drawing>
                <wp:inline distT="0" distB="0" distL="0" distR="0">
                  <wp:extent cx="935355" cy="129603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true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false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888" cy="1296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出生日期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1</w:t>
            </w:r>
            <w:r>
              <w:rPr>
                <w:rFonts w:ascii="宋体" w:hAnsi="宋体"/>
                <w:b/>
                <w:color w:val="000000"/>
                <w:sz w:val="24"/>
              </w:rPr>
              <w:t>977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.1</w:t>
            </w:r>
            <w:r>
              <w:rPr>
                <w:rFonts w:ascii="宋体" w:hAnsi="宋体"/>
                <w:b/>
                <w:color w:val="000000"/>
                <w:sz w:val="24"/>
              </w:rPr>
              <w:t>2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.1</w:t>
            </w:r>
            <w:r>
              <w:rPr>
                <w:rFonts w:ascii="宋体" w:hAnsi="宋体"/>
                <w:b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民    族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汉族</w:t>
            </w:r>
          </w:p>
        </w:tc>
        <w:tc>
          <w:tcPr>
            <w:tcW w:w="1768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20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政治面貌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中共党员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学    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研究生</w:t>
            </w:r>
          </w:p>
        </w:tc>
        <w:tc>
          <w:tcPr>
            <w:tcW w:w="1768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62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技术职称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教授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行政职务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环境学院纪委书记、副院长</w:t>
            </w:r>
          </w:p>
        </w:tc>
        <w:tc>
          <w:tcPr>
            <w:tcW w:w="1768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工作单位</w:t>
            </w:r>
          </w:p>
        </w:tc>
        <w:tc>
          <w:tcPr>
            <w:tcW w:w="5396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中国人民大学法学院、环境学院</w:t>
            </w:r>
          </w:p>
        </w:tc>
        <w:tc>
          <w:tcPr>
            <w:tcW w:w="1768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通讯地址</w:t>
            </w:r>
          </w:p>
        </w:tc>
        <w:tc>
          <w:tcPr>
            <w:tcW w:w="7164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北京市海淀区中关村大街5</w:t>
            </w:r>
            <w:r>
              <w:rPr>
                <w:rFonts w:ascii="宋体" w:hAnsi="宋体"/>
                <w:b/>
                <w:color w:val="000000"/>
                <w:sz w:val="24"/>
              </w:rPr>
              <w:t>9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01" w:hRule="atLeast"/>
        </w:trPr>
        <w:tc>
          <w:tcPr>
            <w:tcW w:w="8784" w:type="dxa"/>
            <w:gridSpan w:val="5"/>
            <w:tcBorders>
              <w:top w:val="single" w:color="auto" w:sz="4" w:space="0"/>
              <w:bottom w:val="single" w:color="000000" w:sz="4" w:space="0"/>
            </w:tcBorders>
          </w:tcPr>
          <w:p>
            <w:pPr>
              <w:tabs>
                <w:tab w:val="left" w:pos="4185"/>
              </w:tabs>
              <w:snapToGrid w:val="0"/>
              <w:spacing w:before="156" w:beforeLines="5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重要学术成果</w:t>
            </w: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（包括专著和论文，只列书名和篇名即可。论文仅限于发表在核心期刊或全国性重要报纸上的。请注明署名方式、发表或出版时间、刊物或出版社、字数。代表性著作和论文请注明中国知网统计的被引用数。）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spacing w:line="560" w:lineRule="exact"/>
              <w:ind w:firstLine="481" w:firstLineChars="20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1.独著《生态损害的社会化填补法理研究》，中国政法大学出版社2007年、2017年修订，约30万字，共被他引</w:t>
            </w:r>
            <w:r>
              <w:rPr>
                <w:rFonts w:ascii="宋体" w:hAnsi="宋体"/>
                <w:b/>
                <w:color w:val="000000"/>
                <w:sz w:val="24"/>
              </w:rPr>
              <w:t>4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44次；</w:t>
            </w:r>
          </w:p>
          <w:p>
            <w:pPr>
              <w:tabs>
                <w:tab w:val="left" w:pos="4185"/>
              </w:tabs>
              <w:snapToGrid w:val="0"/>
              <w:spacing w:line="560" w:lineRule="exact"/>
              <w:ind w:firstLine="481" w:firstLineChars="20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2.独著《环境责任保险的立法研究》，法律出版社2014年、2</w:t>
            </w:r>
            <w:r>
              <w:rPr>
                <w:rFonts w:ascii="宋体" w:hAnsi="宋体"/>
                <w:b/>
                <w:color w:val="000000"/>
                <w:sz w:val="24"/>
              </w:rPr>
              <w:t>021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年修订，约</w:t>
            </w:r>
            <w:r>
              <w:rPr>
                <w:rFonts w:ascii="宋体" w:hAnsi="宋体"/>
                <w:b/>
                <w:color w:val="000000"/>
                <w:sz w:val="24"/>
              </w:rPr>
              <w:t>24.8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万字，他引</w:t>
            </w:r>
            <w:r>
              <w:rPr>
                <w:rFonts w:ascii="宋体" w:hAnsi="宋体"/>
                <w:b/>
                <w:color w:val="000000"/>
                <w:sz w:val="24"/>
              </w:rPr>
              <w:t>62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次；</w:t>
            </w:r>
          </w:p>
          <w:p>
            <w:pPr>
              <w:tabs>
                <w:tab w:val="left" w:pos="4185"/>
              </w:tabs>
              <w:snapToGrid w:val="0"/>
              <w:spacing w:line="560" w:lineRule="exact"/>
              <w:ind w:firstLine="481" w:firstLineChars="20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3.独著《生态损害综合预防和救济法律机制研究》，法律出版社2016年，约29万字，他引</w:t>
            </w:r>
            <w:r>
              <w:rPr>
                <w:rFonts w:ascii="宋体" w:hAnsi="宋体"/>
                <w:b/>
                <w:color w:val="000000"/>
                <w:sz w:val="24"/>
              </w:rPr>
              <w:t>260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次；</w:t>
            </w:r>
          </w:p>
          <w:p>
            <w:pPr>
              <w:tabs>
                <w:tab w:val="left" w:pos="4185"/>
              </w:tabs>
              <w:snapToGrid w:val="0"/>
              <w:spacing w:line="560" w:lineRule="exact"/>
              <w:ind w:firstLine="481" w:firstLineChars="20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4.独著《论无过错联系之数人环境侵权行为的类型》，《中国法学》2011年第5期，他引</w:t>
            </w:r>
            <w:r>
              <w:rPr>
                <w:rFonts w:ascii="宋体" w:hAnsi="宋体"/>
                <w:b/>
                <w:color w:val="000000"/>
                <w:sz w:val="24"/>
              </w:rPr>
              <w:t>77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次；</w:t>
            </w:r>
          </w:p>
          <w:p>
            <w:pPr>
              <w:tabs>
                <w:tab w:val="left" w:pos="4185"/>
              </w:tabs>
              <w:snapToGrid w:val="0"/>
              <w:spacing w:line="560" w:lineRule="exact"/>
              <w:ind w:firstLine="481" w:firstLineChars="20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5.独著《论环境侵权原因行为的立法拓展》，《中国法学》2015年第2期，人大复印资料转摘，他引</w:t>
            </w:r>
            <w:r>
              <w:rPr>
                <w:rFonts w:ascii="宋体" w:hAnsi="宋体"/>
                <w:b/>
                <w:color w:val="000000"/>
                <w:sz w:val="24"/>
              </w:rPr>
              <w:t>162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次；</w:t>
            </w:r>
          </w:p>
          <w:p>
            <w:pPr>
              <w:tabs>
                <w:tab w:val="left" w:pos="4185"/>
              </w:tabs>
              <w:snapToGrid w:val="0"/>
              <w:spacing w:line="560" w:lineRule="exact"/>
              <w:ind w:firstLine="481" w:firstLineChars="20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6.独著《论绿色原则的规范解释司法适用》，《中国法学》20</w:t>
            </w:r>
            <w:r>
              <w:rPr>
                <w:rFonts w:ascii="宋体" w:hAnsi="宋体"/>
                <w:b/>
                <w:color w:val="000000"/>
                <w:sz w:val="24"/>
              </w:rPr>
              <w:t>21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年第</w:t>
            </w:r>
            <w:r>
              <w:rPr>
                <w:rFonts w:ascii="宋体" w:hAnsi="宋体"/>
                <w:b/>
                <w:color w:val="000000"/>
                <w:sz w:val="24"/>
              </w:rPr>
              <w:t>4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期，中国社会科学文摘和人大复印资料转摘，他引2</w:t>
            </w:r>
            <w:r>
              <w:rPr>
                <w:rFonts w:ascii="宋体" w:hAnsi="宋体"/>
                <w:b/>
                <w:color w:val="000000"/>
                <w:sz w:val="24"/>
              </w:rPr>
              <w:t>4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次；</w:t>
            </w:r>
          </w:p>
          <w:p>
            <w:pPr>
              <w:tabs>
                <w:tab w:val="left" w:pos="4185"/>
              </w:tabs>
              <w:snapToGrid w:val="0"/>
              <w:spacing w:line="560" w:lineRule="exact"/>
              <w:ind w:firstLine="481" w:firstLineChars="20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7.独著《论环保法三大配套措施执法信息公开途径的完善》，《中国行政管理》20</w:t>
            </w:r>
            <w:r>
              <w:rPr>
                <w:rFonts w:ascii="宋体" w:hAnsi="宋体"/>
                <w:b/>
                <w:color w:val="000000"/>
                <w:sz w:val="24"/>
              </w:rPr>
              <w:t>20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年第</w:t>
            </w:r>
            <w:r>
              <w:rPr>
                <w:rFonts w:ascii="宋体" w:hAnsi="宋体"/>
                <w:b/>
                <w:color w:val="000000"/>
                <w:sz w:val="24"/>
              </w:rPr>
              <w:t>6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期，他引</w:t>
            </w:r>
            <w:r>
              <w:rPr>
                <w:rFonts w:ascii="宋体" w:hAnsi="宋体"/>
                <w:b/>
                <w:color w:val="000000"/>
                <w:sz w:val="24"/>
              </w:rPr>
              <w:t>1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次；</w:t>
            </w:r>
          </w:p>
          <w:p>
            <w:pPr>
              <w:tabs>
                <w:tab w:val="left" w:pos="4185"/>
              </w:tabs>
              <w:snapToGrid w:val="0"/>
              <w:spacing w:line="560" w:lineRule="exact"/>
              <w:ind w:firstLine="481" w:firstLineChars="20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8</w:t>
            </w:r>
            <w:r>
              <w:rPr>
                <w:rFonts w:ascii="宋体" w:hAnsi="宋体"/>
                <w:b/>
                <w:color w:val="000000"/>
                <w:sz w:val="24"/>
              </w:rPr>
              <w:t>.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独著《生态损害公益索赔主体机制研究》，《法学》2016年第3期，新华文摘和人大复印资料全文转载，他引</w:t>
            </w:r>
            <w:r>
              <w:rPr>
                <w:rFonts w:ascii="宋体" w:hAnsi="宋体"/>
                <w:b/>
                <w:color w:val="000000"/>
                <w:sz w:val="24"/>
              </w:rPr>
              <w:t>174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次；</w:t>
            </w:r>
          </w:p>
          <w:p>
            <w:pPr>
              <w:tabs>
                <w:tab w:val="left" w:pos="4185"/>
              </w:tabs>
              <w:snapToGrid w:val="0"/>
              <w:spacing w:line="560" w:lineRule="exact"/>
              <w:ind w:firstLine="481" w:firstLineChars="20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9.第一作者Regional Restrictions on Environmental Impact Assessment Approval in China: The Legitimacy of Environmental Authoritarianism, JOURNAL OF CLEANER PRODUCTION（SSCI &amp; SCI）,92 (2015)，被Web of Science核心合集引28次（共被引34次）；</w:t>
            </w:r>
          </w:p>
          <w:p>
            <w:pPr>
              <w:tabs>
                <w:tab w:val="left" w:pos="4185"/>
              </w:tabs>
              <w:snapToGrid w:val="0"/>
              <w:spacing w:line="560" w:lineRule="exact"/>
              <w:ind w:firstLine="481" w:firstLineChars="20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1</w:t>
            </w:r>
            <w:r>
              <w:rPr>
                <w:rFonts w:ascii="宋体" w:hAnsi="宋体"/>
                <w:b/>
                <w:color w:val="000000"/>
                <w:sz w:val="24"/>
              </w:rPr>
              <w:t>0.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第一作者、通讯作者Genetically Modified Food Labeling in China: In Pursuit of a Rational Path，FOOD AND DRUG LAW JOURNAL（SSCI），Vol. 71, No. 1 (2016),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被Web of Science核心合集引8次（共被引8次）；</w:t>
            </w:r>
          </w:p>
          <w:p>
            <w:pPr>
              <w:tabs>
                <w:tab w:val="left" w:pos="4185"/>
              </w:tabs>
              <w:snapToGrid w:val="0"/>
              <w:spacing w:line="560" w:lineRule="exact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color w:val="000000"/>
                <w:sz w:val="24"/>
              </w:rPr>
              <w:t>1</w:t>
            </w:r>
            <w:r>
              <w:rPr>
                <w:rFonts w:ascii="宋体" w:hAnsi="宋体"/>
                <w:b/>
                <w:color w:val="000000"/>
                <w:sz w:val="24"/>
              </w:rPr>
              <w:t>1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.第一作者、通讯作者Public Participation in China’s Environmental Lawmaking: In Pursuit of Better Environmental Democracy，JOURNAL OF ENVIRONMENTAL LAW (SSCI)，Vol.29, No. 3 (2017),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被Web of Science 核心合集引12次（共被引14次）；</w:t>
            </w:r>
          </w:p>
          <w:p>
            <w:pPr>
              <w:tabs>
                <w:tab w:val="left" w:pos="4185"/>
              </w:tabs>
              <w:snapToGrid w:val="0"/>
              <w:spacing w:line="560" w:lineRule="exact"/>
              <w:ind w:firstLine="481" w:firstLineChars="20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1</w:t>
            </w:r>
            <w:r>
              <w:rPr>
                <w:rFonts w:ascii="宋体" w:hAnsi="宋体"/>
                <w:b/>
                <w:color w:val="000000"/>
                <w:sz w:val="24"/>
              </w:rPr>
              <w:t>2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.独著《反思松花江水污染事故行政罚款的法律尴尬》，《法学》2007年第3期，他引</w:t>
            </w:r>
            <w:r>
              <w:rPr>
                <w:rFonts w:ascii="宋体" w:hAnsi="宋体"/>
                <w:b/>
                <w:color w:val="000000"/>
                <w:sz w:val="24"/>
              </w:rPr>
              <w:t>141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次；</w:t>
            </w:r>
          </w:p>
          <w:p>
            <w:pPr>
              <w:tabs>
                <w:tab w:val="left" w:pos="4185"/>
              </w:tabs>
              <w:snapToGrid w:val="0"/>
              <w:spacing w:line="560" w:lineRule="exact"/>
              <w:ind w:firstLine="481" w:firstLineChars="20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13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.独著《论环境污染责任保险法律体系的构建》，《法学评论》2015年第1期，人大复印资料转摘，他引</w:t>
            </w:r>
            <w:r>
              <w:rPr>
                <w:rFonts w:ascii="宋体" w:hAnsi="宋体"/>
                <w:b/>
                <w:color w:val="000000"/>
                <w:sz w:val="24"/>
              </w:rPr>
              <w:t>133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次；</w:t>
            </w:r>
          </w:p>
          <w:p>
            <w:pPr>
              <w:tabs>
                <w:tab w:val="left" w:pos="4185"/>
              </w:tabs>
              <w:snapToGrid w:val="0"/>
              <w:spacing w:line="560" w:lineRule="exact"/>
              <w:ind w:firstLine="481" w:firstLineChars="20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14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.独著《论环境民事公益诉讼救济的实体公益》，《中国人民大学学报》2016年第2期，他引</w:t>
            </w:r>
            <w:r>
              <w:rPr>
                <w:rFonts w:ascii="宋体" w:hAnsi="宋体"/>
                <w:b/>
                <w:color w:val="000000"/>
                <w:sz w:val="24"/>
              </w:rPr>
              <w:t>130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次；</w:t>
            </w:r>
          </w:p>
          <w:p>
            <w:pPr>
              <w:tabs>
                <w:tab w:val="left" w:pos="4185"/>
              </w:tabs>
              <w:snapToGrid w:val="0"/>
              <w:spacing w:line="560" w:lineRule="exact"/>
              <w:ind w:firstLine="481" w:firstLineChars="20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15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.独著《论生态损害综合预防与救济的立法路径》，《比较法研究》2016年第3期，他引</w:t>
            </w:r>
            <w:r>
              <w:rPr>
                <w:rFonts w:ascii="宋体" w:hAnsi="宋体"/>
                <w:b/>
                <w:color w:val="000000"/>
                <w:sz w:val="24"/>
              </w:rPr>
              <w:t>114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次；</w:t>
            </w:r>
          </w:p>
          <w:p>
            <w:pPr>
              <w:tabs>
                <w:tab w:val="left" w:pos="4185"/>
              </w:tabs>
              <w:snapToGrid w:val="0"/>
              <w:spacing w:line="560" w:lineRule="exact"/>
              <w:ind w:firstLine="361" w:firstLineChars="15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16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.第一作者《绿色发展理念与环境立法创新》，《法制与社会发展》2016年第2期，他引</w:t>
            </w:r>
            <w:r>
              <w:rPr>
                <w:rFonts w:ascii="宋体" w:hAnsi="宋体"/>
                <w:b/>
                <w:color w:val="000000"/>
                <w:sz w:val="24"/>
              </w:rPr>
              <w:t>110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次。</w:t>
            </w:r>
          </w:p>
          <w:p>
            <w:pPr>
              <w:tabs>
                <w:tab w:val="left" w:pos="4185"/>
              </w:tabs>
              <w:snapToGrid w:val="0"/>
              <w:spacing w:line="560" w:lineRule="exact"/>
              <w:ind w:firstLine="361" w:firstLineChars="15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spacing w:line="560" w:lineRule="exact"/>
              <w:ind w:firstLine="361" w:firstLineChars="15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spacing w:line="560" w:lineRule="exact"/>
              <w:ind w:firstLine="361" w:firstLineChars="15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spacing w:line="560" w:lineRule="exact"/>
              <w:ind w:firstLine="361" w:firstLineChars="15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spacing w:line="560" w:lineRule="exact"/>
              <w:ind w:firstLine="361" w:firstLineChars="15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spacing w:line="560" w:lineRule="exact"/>
              <w:ind w:firstLine="361" w:firstLineChars="15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spacing w:line="560" w:lineRule="exact"/>
              <w:ind w:firstLine="361" w:firstLineChars="15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spacing w:line="560" w:lineRule="exact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3" w:hRule="atLeast"/>
        </w:trPr>
        <w:tc>
          <w:tcPr>
            <w:tcW w:w="8784" w:type="dxa"/>
            <w:gridSpan w:val="5"/>
            <w:tcBorders>
              <w:top w:val="single" w:color="auto" w:sz="4" w:space="0"/>
              <w:bottom w:val="single" w:color="000000" w:sz="4" w:space="0"/>
            </w:tcBorders>
          </w:tcPr>
          <w:p>
            <w:pPr>
              <w:tabs>
                <w:tab w:val="left" w:pos="4185"/>
              </w:tabs>
              <w:snapToGrid w:val="0"/>
              <w:spacing w:before="156" w:beforeLines="50"/>
              <w:jc w:val="center"/>
              <w:rPr>
                <w:rFonts w:cs="Arial"/>
                <w:b/>
                <w:kern w:val="0"/>
                <w:sz w:val="30"/>
                <w:szCs w:val="30"/>
              </w:rPr>
            </w:pPr>
            <w:r>
              <w:rPr>
                <w:rFonts w:cs="Arial"/>
                <w:b/>
                <w:kern w:val="0"/>
                <w:sz w:val="30"/>
                <w:szCs w:val="30"/>
              </w:rPr>
              <w:t>获得奖项</w:t>
            </w:r>
            <w:r>
              <w:rPr>
                <w:rFonts w:hint="eastAsia" w:cs="Arial"/>
                <w:b/>
                <w:kern w:val="0"/>
                <w:sz w:val="30"/>
                <w:szCs w:val="30"/>
              </w:rPr>
              <w:t>和表彰</w:t>
            </w: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ascii="楷体" w:hAnsi="楷体" w:eastAsia="楷体" w:cs="Arial"/>
                <w:b/>
                <w:kern w:val="0"/>
                <w:sz w:val="24"/>
              </w:rPr>
            </w:pPr>
            <w:r>
              <w:rPr>
                <w:rFonts w:hint="eastAsia" w:ascii="楷体" w:hAnsi="楷体" w:eastAsia="楷体" w:cs="Arial"/>
                <w:b/>
                <w:kern w:val="0"/>
                <w:sz w:val="24"/>
              </w:rPr>
              <w:t>（请注明获得时间及等级）</w:t>
            </w: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ascii="楷体_GB2312" w:hAnsi="楷体" w:eastAsia="楷体_GB2312"/>
                <w:b/>
                <w:color w:val="000000"/>
                <w:szCs w:val="21"/>
              </w:rPr>
            </w:pPr>
          </w:p>
          <w:p>
            <w:pPr>
              <w:tabs>
                <w:tab w:val="left" w:pos="4185"/>
              </w:tabs>
              <w:snapToGrid w:val="0"/>
              <w:spacing w:line="540" w:lineRule="exact"/>
              <w:ind w:firstLine="602" w:firstLineChars="25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1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.第八届“全国十大杰出青年法学家”提名奖（2017年）；</w:t>
            </w:r>
          </w:p>
          <w:p>
            <w:pPr>
              <w:tabs>
                <w:tab w:val="left" w:pos="4185"/>
              </w:tabs>
              <w:snapToGrid w:val="0"/>
              <w:spacing w:line="540" w:lineRule="exact"/>
              <w:ind w:firstLine="602" w:firstLineChars="25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2.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第九届“全国杰出青年法学家”提名奖（2020年）；</w:t>
            </w:r>
          </w:p>
          <w:p>
            <w:pPr>
              <w:tabs>
                <w:tab w:val="left" w:pos="4185"/>
              </w:tabs>
              <w:snapToGrid w:val="0"/>
              <w:spacing w:line="540" w:lineRule="exact"/>
              <w:ind w:firstLine="602" w:firstLineChars="25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3</w:t>
            </w:r>
            <w:r>
              <w:rPr>
                <w:rFonts w:ascii="宋体" w:hAnsi="宋体"/>
                <w:b/>
                <w:color w:val="000000"/>
                <w:sz w:val="24"/>
              </w:rPr>
              <w:t>.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“****计划”****人才(2020年)；</w:t>
            </w:r>
          </w:p>
          <w:p>
            <w:pPr>
              <w:tabs>
                <w:tab w:val="left" w:pos="4185"/>
              </w:tabs>
              <w:snapToGrid w:val="0"/>
              <w:spacing w:line="540" w:lineRule="exact"/>
              <w:ind w:firstLine="602" w:firstLineChars="25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4</w:t>
            </w:r>
            <w:r>
              <w:rPr>
                <w:rFonts w:ascii="宋体" w:hAnsi="宋体"/>
                <w:b/>
                <w:color w:val="000000"/>
                <w:sz w:val="24"/>
              </w:rPr>
              <w:t>.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*****暨“****”**人才（2019年）；</w:t>
            </w:r>
          </w:p>
          <w:p>
            <w:pPr>
              <w:tabs>
                <w:tab w:val="left" w:pos="4185"/>
              </w:tabs>
              <w:snapToGrid w:val="0"/>
              <w:spacing w:line="540" w:lineRule="exact"/>
              <w:ind w:firstLine="602" w:firstLineChars="25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5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.**部****学者（2017年）；</w:t>
            </w:r>
          </w:p>
          <w:p>
            <w:pPr>
              <w:tabs>
                <w:tab w:val="left" w:pos="4185"/>
              </w:tabs>
              <w:snapToGrid w:val="0"/>
              <w:spacing w:line="540" w:lineRule="exact"/>
              <w:ind w:firstLine="602" w:firstLineChars="25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6.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“****计划”****人才(2014年)；</w:t>
            </w:r>
          </w:p>
          <w:p>
            <w:pPr>
              <w:tabs>
                <w:tab w:val="left" w:pos="4185"/>
              </w:tabs>
              <w:snapToGrid w:val="0"/>
              <w:spacing w:line="540" w:lineRule="exact"/>
              <w:ind w:firstLine="602" w:firstLineChars="25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7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.“国家环境保护专业技术青年拔尖人才”（2014年）；</w:t>
            </w:r>
          </w:p>
          <w:p>
            <w:pPr>
              <w:tabs>
                <w:tab w:val="left" w:pos="4185"/>
              </w:tabs>
              <w:snapToGrid w:val="0"/>
              <w:spacing w:line="540" w:lineRule="exact"/>
              <w:ind w:firstLine="602" w:firstLineChars="25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8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.“全国法学会系统先进个人”（2019年）；</w:t>
            </w:r>
          </w:p>
          <w:p>
            <w:pPr>
              <w:tabs>
                <w:tab w:val="left" w:pos="4185"/>
              </w:tabs>
              <w:snapToGrid w:val="0"/>
              <w:spacing w:line="540" w:lineRule="exact"/>
              <w:ind w:firstLine="602" w:firstLineChars="25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9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.中国环境科学学会“第七届青年科技奖”（2010年）；</w:t>
            </w:r>
          </w:p>
          <w:p>
            <w:pPr>
              <w:tabs>
                <w:tab w:val="left" w:pos="4185"/>
              </w:tabs>
              <w:snapToGrid w:val="0"/>
              <w:spacing w:line="540" w:lineRule="exact"/>
              <w:ind w:firstLine="481" w:firstLineChars="20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10.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博士论文《生态损害的社会化填补法理研究》获教育部和国务院学位委员会“2008年全国优秀博士论文提名论文”奖（2008年）；</w:t>
            </w:r>
          </w:p>
          <w:p>
            <w:pPr>
              <w:tabs>
                <w:tab w:val="left" w:pos="4185"/>
              </w:tabs>
              <w:snapToGrid w:val="0"/>
              <w:spacing w:line="540" w:lineRule="exact"/>
              <w:ind w:firstLine="481" w:firstLineChars="20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11.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独著《生态损害的社会化填补法理研究》获第六届吴玉章人文社会科学青年奖（2012年）；</w:t>
            </w:r>
          </w:p>
          <w:p>
            <w:pPr>
              <w:tabs>
                <w:tab w:val="left" w:pos="4185"/>
              </w:tabs>
              <w:snapToGrid w:val="0"/>
              <w:spacing w:line="540" w:lineRule="exact"/>
              <w:ind w:firstLine="481" w:firstLineChars="20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1</w:t>
            </w:r>
            <w:r>
              <w:rPr>
                <w:rFonts w:ascii="宋体" w:hAnsi="宋体"/>
                <w:b/>
                <w:color w:val="000000"/>
                <w:sz w:val="24"/>
              </w:rPr>
              <w:t>2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.独著《论无过错联系之数人环境侵权行为的类型——兼论致害人不明数人环境侵权责任承担的司法审理》（载《中国法学》2011年第5期）获第三届中国法学优秀成果奖三等奖（2014年）；</w:t>
            </w:r>
          </w:p>
          <w:p>
            <w:pPr>
              <w:tabs>
                <w:tab w:val="left" w:pos="4185"/>
              </w:tabs>
              <w:snapToGrid w:val="0"/>
              <w:spacing w:line="540" w:lineRule="exact"/>
              <w:ind w:firstLine="481" w:firstLineChars="20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1</w:t>
            </w:r>
            <w:r>
              <w:rPr>
                <w:rFonts w:ascii="宋体" w:hAnsi="宋体"/>
                <w:b/>
                <w:color w:val="000000"/>
                <w:sz w:val="24"/>
              </w:rPr>
              <w:t>3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.独著《生态损害的社会化填补法理研究》获第三届钱端升法学研究成果奖提名奖（2010年）；</w:t>
            </w:r>
          </w:p>
          <w:p>
            <w:pPr>
              <w:tabs>
                <w:tab w:val="left" w:pos="4185"/>
              </w:tabs>
              <w:snapToGrid w:val="0"/>
              <w:spacing w:line="540" w:lineRule="exact"/>
              <w:ind w:firstLine="481" w:firstLineChars="20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1</w:t>
            </w:r>
            <w:r>
              <w:rPr>
                <w:rFonts w:ascii="宋体" w:hAnsi="宋体"/>
                <w:b/>
                <w:color w:val="000000"/>
                <w:sz w:val="24"/>
              </w:rPr>
              <w:t>4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.独著《论环境民事公益诉讼救济的实体公益》获环境保护部、中国法学会“生态环境法治保障”主题征文二等奖（2015年）；</w:t>
            </w:r>
          </w:p>
          <w:p>
            <w:pPr>
              <w:tabs>
                <w:tab w:val="left" w:pos="4185"/>
              </w:tabs>
              <w:snapToGrid w:val="0"/>
              <w:spacing w:line="540" w:lineRule="exact"/>
              <w:ind w:firstLine="481" w:firstLineChars="20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1</w:t>
            </w:r>
            <w:r>
              <w:rPr>
                <w:rFonts w:ascii="宋体" w:hAnsi="宋体"/>
                <w:b/>
                <w:color w:val="000000"/>
                <w:sz w:val="24"/>
              </w:rPr>
              <w:t>5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.独著《生态损害综合预防和救济法律机制研究》获第五届董必武青年法学成果奖二等奖（2017年）；</w:t>
            </w:r>
          </w:p>
          <w:p>
            <w:pPr>
              <w:tabs>
                <w:tab w:val="left" w:pos="4185"/>
              </w:tabs>
              <w:snapToGrid w:val="0"/>
              <w:spacing w:line="540" w:lineRule="exact"/>
              <w:ind w:firstLine="481" w:firstLineChars="20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1</w:t>
            </w:r>
            <w:r>
              <w:rPr>
                <w:rFonts w:ascii="宋体" w:hAnsi="宋体"/>
                <w:b/>
                <w:color w:val="000000"/>
                <w:sz w:val="24"/>
              </w:rPr>
              <w:t>6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.独著《论新&lt;环境保护法&gt;中的环评区域限批制度》（载《法学》2014年第6期）获第二届董必武青年法学成果奖提名奖（2014年）；</w:t>
            </w:r>
          </w:p>
          <w:p>
            <w:pPr>
              <w:tabs>
                <w:tab w:val="left" w:pos="4185"/>
              </w:tabs>
              <w:snapToGrid w:val="0"/>
              <w:spacing w:line="540" w:lineRule="exact"/>
              <w:ind w:firstLine="481" w:firstLineChars="20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1</w:t>
            </w:r>
            <w:r>
              <w:rPr>
                <w:rFonts w:ascii="宋体" w:hAnsi="宋体"/>
                <w:b/>
                <w:color w:val="000000"/>
                <w:sz w:val="24"/>
              </w:rPr>
              <w:t>7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.合著专著（第2作者）《环境侵权法疑难问题研究》获福建省第九届社会科学优秀成果奖二等奖（2011年）；</w:t>
            </w:r>
          </w:p>
          <w:p>
            <w:pPr>
              <w:tabs>
                <w:tab w:val="left" w:pos="4185"/>
              </w:tabs>
              <w:snapToGrid w:val="0"/>
              <w:spacing w:line="540" w:lineRule="exact"/>
              <w:ind w:firstLine="481" w:firstLineChars="20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1</w:t>
            </w:r>
            <w:r>
              <w:rPr>
                <w:rFonts w:ascii="宋体" w:hAnsi="宋体"/>
                <w:b/>
                <w:color w:val="000000"/>
                <w:sz w:val="24"/>
              </w:rPr>
              <w:t>8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.独著《生态损害的社会化填补法理研究》获中国环境科学学会环境法分会第一届“励青环境法学奖”二等奖（2009年）；</w:t>
            </w:r>
          </w:p>
          <w:p>
            <w:pPr>
              <w:tabs>
                <w:tab w:val="left" w:pos="4185"/>
              </w:tabs>
              <w:snapToGrid w:val="0"/>
              <w:spacing w:line="540" w:lineRule="exact"/>
              <w:ind w:firstLine="481" w:firstLineChars="20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19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.独著《论环境污染赔偿责任的特殊要件——兼评&lt;侵权责任法&gt;（草案）二审稿第68条》（载《政治与法律》2009年第12期）获中国环境科学学会环境法分会第二届“励青环境法学奖”一等奖（2011年）；</w:t>
            </w:r>
          </w:p>
          <w:p>
            <w:pPr>
              <w:tabs>
                <w:tab w:val="left" w:pos="4185"/>
              </w:tabs>
              <w:snapToGrid w:val="0"/>
              <w:spacing w:line="540" w:lineRule="exact"/>
              <w:ind w:firstLine="481" w:firstLineChars="20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20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.独著《环境责任保险的立法研究》获中国环境科学学会环境法分会第四届“励青环境法学奖”三等奖（2015年）。</w:t>
            </w: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</w:tc>
      </w:tr>
    </w:tbl>
    <w:p>
      <w:pPr>
        <w:spacing w:line="20" w:lineRule="exac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Arial Narrow">
    <w:altName w:val="Times New Roman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B24C2"/>
    <w:multiLevelType w:val="singleLevel"/>
    <w:tmpl w:val="CF7B24C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xNWNjNDYyYTNmOTgxMGY2OWQ2MmJlMDMyM2M5ZmIifQ=="/>
  </w:docVars>
  <w:rsids>
    <w:rsidRoot w:val="AFFF087D"/>
    <w:rsid w:val="000034B9"/>
    <w:rsid w:val="00012EF7"/>
    <w:rsid w:val="00024387"/>
    <w:rsid w:val="00034AE8"/>
    <w:rsid w:val="00044D4B"/>
    <w:rsid w:val="00045FC2"/>
    <w:rsid w:val="0005172E"/>
    <w:rsid w:val="000525E5"/>
    <w:rsid w:val="00052FCB"/>
    <w:rsid w:val="000531BB"/>
    <w:rsid w:val="00062B69"/>
    <w:rsid w:val="00066708"/>
    <w:rsid w:val="00067B84"/>
    <w:rsid w:val="00092D96"/>
    <w:rsid w:val="00096EF8"/>
    <w:rsid w:val="00097A18"/>
    <w:rsid w:val="000A1F4F"/>
    <w:rsid w:val="000A6EAE"/>
    <w:rsid w:val="000B4422"/>
    <w:rsid w:val="000B52F9"/>
    <w:rsid w:val="000D213A"/>
    <w:rsid w:val="000E3A72"/>
    <w:rsid w:val="000E462A"/>
    <w:rsid w:val="0010139B"/>
    <w:rsid w:val="0011454F"/>
    <w:rsid w:val="00120961"/>
    <w:rsid w:val="001245C5"/>
    <w:rsid w:val="001247F6"/>
    <w:rsid w:val="0012734F"/>
    <w:rsid w:val="00131CF3"/>
    <w:rsid w:val="0014032A"/>
    <w:rsid w:val="001653D5"/>
    <w:rsid w:val="0016566E"/>
    <w:rsid w:val="00171C54"/>
    <w:rsid w:val="00174A6A"/>
    <w:rsid w:val="00175D74"/>
    <w:rsid w:val="00177B93"/>
    <w:rsid w:val="0018274D"/>
    <w:rsid w:val="00185D52"/>
    <w:rsid w:val="00186B28"/>
    <w:rsid w:val="001A636E"/>
    <w:rsid w:val="001A74F9"/>
    <w:rsid w:val="001C63B1"/>
    <w:rsid w:val="001D32E9"/>
    <w:rsid w:val="001D6154"/>
    <w:rsid w:val="001F4A00"/>
    <w:rsid w:val="001F4F10"/>
    <w:rsid w:val="00227AA4"/>
    <w:rsid w:val="002310B1"/>
    <w:rsid w:val="00231146"/>
    <w:rsid w:val="002334B3"/>
    <w:rsid w:val="00235BA9"/>
    <w:rsid w:val="00236DC3"/>
    <w:rsid w:val="00250595"/>
    <w:rsid w:val="00276F9E"/>
    <w:rsid w:val="00277DE4"/>
    <w:rsid w:val="002846F8"/>
    <w:rsid w:val="00287158"/>
    <w:rsid w:val="002A672F"/>
    <w:rsid w:val="002C240B"/>
    <w:rsid w:val="002D4CEC"/>
    <w:rsid w:val="002D5143"/>
    <w:rsid w:val="002D5164"/>
    <w:rsid w:val="002E3F32"/>
    <w:rsid w:val="002E667B"/>
    <w:rsid w:val="002F0E64"/>
    <w:rsid w:val="002F0ECF"/>
    <w:rsid w:val="002F4B97"/>
    <w:rsid w:val="002F4BD9"/>
    <w:rsid w:val="003040D5"/>
    <w:rsid w:val="0031399E"/>
    <w:rsid w:val="00313BC8"/>
    <w:rsid w:val="003151C5"/>
    <w:rsid w:val="003157D0"/>
    <w:rsid w:val="00325768"/>
    <w:rsid w:val="003333EC"/>
    <w:rsid w:val="00334D5B"/>
    <w:rsid w:val="00352970"/>
    <w:rsid w:val="0035302A"/>
    <w:rsid w:val="0036309A"/>
    <w:rsid w:val="0038237F"/>
    <w:rsid w:val="003829ED"/>
    <w:rsid w:val="00394F68"/>
    <w:rsid w:val="003E1D06"/>
    <w:rsid w:val="003E2E11"/>
    <w:rsid w:val="003E7805"/>
    <w:rsid w:val="00403C71"/>
    <w:rsid w:val="004079CA"/>
    <w:rsid w:val="00416DE2"/>
    <w:rsid w:val="00424383"/>
    <w:rsid w:val="004352CE"/>
    <w:rsid w:val="00435349"/>
    <w:rsid w:val="00450071"/>
    <w:rsid w:val="004577FB"/>
    <w:rsid w:val="00460D2B"/>
    <w:rsid w:val="00464F6F"/>
    <w:rsid w:val="00465E0A"/>
    <w:rsid w:val="00473CFB"/>
    <w:rsid w:val="0047778C"/>
    <w:rsid w:val="00477B42"/>
    <w:rsid w:val="00483153"/>
    <w:rsid w:val="00485B07"/>
    <w:rsid w:val="00487553"/>
    <w:rsid w:val="00492161"/>
    <w:rsid w:val="004928EB"/>
    <w:rsid w:val="004A57A7"/>
    <w:rsid w:val="004A73EC"/>
    <w:rsid w:val="004B6C47"/>
    <w:rsid w:val="004B7147"/>
    <w:rsid w:val="004B7833"/>
    <w:rsid w:val="004C2E02"/>
    <w:rsid w:val="004D37D3"/>
    <w:rsid w:val="004D7E0A"/>
    <w:rsid w:val="004F45B8"/>
    <w:rsid w:val="005076B0"/>
    <w:rsid w:val="0052358C"/>
    <w:rsid w:val="0052484C"/>
    <w:rsid w:val="00533B12"/>
    <w:rsid w:val="00545640"/>
    <w:rsid w:val="00564748"/>
    <w:rsid w:val="00575ECC"/>
    <w:rsid w:val="00576A41"/>
    <w:rsid w:val="005A58B5"/>
    <w:rsid w:val="005B14C6"/>
    <w:rsid w:val="005B2C97"/>
    <w:rsid w:val="005B48E8"/>
    <w:rsid w:val="005B4E6D"/>
    <w:rsid w:val="005C175F"/>
    <w:rsid w:val="005D2225"/>
    <w:rsid w:val="005D2DF4"/>
    <w:rsid w:val="005D410E"/>
    <w:rsid w:val="005D4C1B"/>
    <w:rsid w:val="005E2D48"/>
    <w:rsid w:val="005F18E4"/>
    <w:rsid w:val="005F1F64"/>
    <w:rsid w:val="00613FC0"/>
    <w:rsid w:val="00622BC5"/>
    <w:rsid w:val="00623626"/>
    <w:rsid w:val="00645162"/>
    <w:rsid w:val="00645326"/>
    <w:rsid w:val="00645BCA"/>
    <w:rsid w:val="0065021C"/>
    <w:rsid w:val="0065052F"/>
    <w:rsid w:val="00653309"/>
    <w:rsid w:val="006551CA"/>
    <w:rsid w:val="006618D6"/>
    <w:rsid w:val="006668D7"/>
    <w:rsid w:val="0067039F"/>
    <w:rsid w:val="006737BB"/>
    <w:rsid w:val="00674846"/>
    <w:rsid w:val="006755D6"/>
    <w:rsid w:val="00676A92"/>
    <w:rsid w:val="00683148"/>
    <w:rsid w:val="00692CE3"/>
    <w:rsid w:val="00693AC6"/>
    <w:rsid w:val="006955D3"/>
    <w:rsid w:val="00695B39"/>
    <w:rsid w:val="006B108B"/>
    <w:rsid w:val="006B4506"/>
    <w:rsid w:val="006B617D"/>
    <w:rsid w:val="006B7A31"/>
    <w:rsid w:val="006C0A41"/>
    <w:rsid w:val="006D2E9C"/>
    <w:rsid w:val="006D61AE"/>
    <w:rsid w:val="006E0F78"/>
    <w:rsid w:val="006E286B"/>
    <w:rsid w:val="006E4763"/>
    <w:rsid w:val="006F7520"/>
    <w:rsid w:val="00702B5C"/>
    <w:rsid w:val="00710471"/>
    <w:rsid w:val="007108F7"/>
    <w:rsid w:val="0071298A"/>
    <w:rsid w:val="00720E93"/>
    <w:rsid w:val="00724B63"/>
    <w:rsid w:val="0073226E"/>
    <w:rsid w:val="00732E30"/>
    <w:rsid w:val="00736CBF"/>
    <w:rsid w:val="00765BDB"/>
    <w:rsid w:val="0077374B"/>
    <w:rsid w:val="00773DCF"/>
    <w:rsid w:val="007743F1"/>
    <w:rsid w:val="00785850"/>
    <w:rsid w:val="00786744"/>
    <w:rsid w:val="00790604"/>
    <w:rsid w:val="00794F22"/>
    <w:rsid w:val="007C2B0E"/>
    <w:rsid w:val="007C5713"/>
    <w:rsid w:val="007C65A2"/>
    <w:rsid w:val="007C7CD1"/>
    <w:rsid w:val="007D4964"/>
    <w:rsid w:val="007D5554"/>
    <w:rsid w:val="007F2980"/>
    <w:rsid w:val="007F65D9"/>
    <w:rsid w:val="007F6A91"/>
    <w:rsid w:val="0080088A"/>
    <w:rsid w:val="00802F11"/>
    <w:rsid w:val="008032A3"/>
    <w:rsid w:val="00803452"/>
    <w:rsid w:val="008107CC"/>
    <w:rsid w:val="00812303"/>
    <w:rsid w:val="008137F6"/>
    <w:rsid w:val="0082204C"/>
    <w:rsid w:val="008343E3"/>
    <w:rsid w:val="00840247"/>
    <w:rsid w:val="008432ED"/>
    <w:rsid w:val="00865AEC"/>
    <w:rsid w:val="00865F42"/>
    <w:rsid w:val="00886343"/>
    <w:rsid w:val="00886D6B"/>
    <w:rsid w:val="00896C55"/>
    <w:rsid w:val="008A34E8"/>
    <w:rsid w:val="008A4016"/>
    <w:rsid w:val="008A4405"/>
    <w:rsid w:val="008C06D9"/>
    <w:rsid w:val="008C1ED2"/>
    <w:rsid w:val="008C6BBF"/>
    <w:rsid w:val="008D0277"/>
    <w:rsid w:val="008E0386"/>
    <w:rsid w:val="008E3033"/>
    <w:rsid w:val="008E63C9"/>
    <w:rsid w:val="008F2DA9"/>
    <w:rsid w:val="008F7073"/>
    <w:rsid w:val="00916DB5"/>
    <w:rsid w:val="00922508"/>
    <w:rsid w:val="009249A8"/>
    <w:rsid w:val="00926524"/>
    <w:rsid w:val="00934732"/>
    <w:rsid w:val="00940CE5"/>
    <w:rsid w:val="009461E4"/>
    <w:rsid w:val="0094784D"/>
    <w:rsid w:val="00950A17"/>
    <w:rsid w:val="0095283E"/>
    <w:rsid w:val="00960D09"/>
    <w:rsid w:val="00964EEE"/>
    <w:rsid w:val="00970219"/>
    <w:rsid w:val="00974DBD"/>
    <w:rsid w:val="00980628"/>
    <w:rsid w:val="00980A07"/>
    <w:rsid w:val="00981C1B"/>
    <w:rsid w:val="00985627"/>
    <w:rsid w:val="009860FD"/>
    <w:rsid w:val="00986457"/>
    <w:rsid w:val="00987703"/>
    <w:rsid w:val="009A0428"/>
    <w:rsid w:val="009A3251"/>
    <w:rsid w:val="009A42F4"/>
    <w:rsid w:val="009A4C8A"/>
    <w:rsid w:val="009B620C"/>
    <w:rsid w:val="009D00CA"/>
    <w:rsid w:val="009D6F27"/>
    <w:rsid w:val="009E025F"/>
    <w:rsid w:val="009F1B6A"/>
    <w:rsid w:val="009F1DB9"/>
    <w:rsid w:val="009F2CA8"/>
    <w:rsid w:val="00A03C10"/>
    <w:rsid w:val="00A04A18"/>
    <w:rsid w:val="00A11087"/>
    <w:rsid w:val="00A20468"/>
    <w:rsid w:val="00A218DD"/>
    <w:rsid w:val="00A2562E"/>
    <w:rsid w:val="00A55FBA"/>
    <w:rsid w:val="00A67377"/>
    <w:rsid w:val="00A77650"/>
    <w:rsid w:val="00A77819"/>
    <w:rsid w:val="00A829F3"/>
    <w:rsid w:val="00A8317F"/>
    <w:rsid w:val="00A87629"/>
    <w:rsid w:val="00AA704F"/>
    <w:rsid w:val="00AB2423"/>
    <w:rsid w:val="00AB5FD1"/>
    <w:rsid w:val="00AC0E4F"/>
    <w:rsid w:val="00AC30F2"/>
    <w:rsid w:val="00AC6186"/>
    <w:rsid w:val="00AD25B3"/>
    <w:rsid w:val="00AD3005"/>
    <w:rsid w:val="00AD56D9"/>
    <w:rsid w:val="00AE3D9A"/>
    <w:rsid w:val="00AF5069"/>
    <w:rsid w:val="00B02EE2"/>
    <w:rsid w:val="00B06B97"/>
    <w:rsid w:val="00B25F1D"/>
    <w:rsid w:val="00B30C5F"/>
    <w:rsid w:val="00B30E1C"/>
    <w:rsid w:val="00B3585D"/>
    <w:rsid w:val="00B47EEB"/>
    <w:rsid w:val="00B549F2"/>
    <w:rsid w:val="00B62674"/>
    <w:rsid w:val="00B62B07"/>
    <w:rsid w:val="00B815FA"/>
    <w:rsid w:val="00B92AFE"/>
    <w:rsid w:val="00B9405E"/>
    <w:rsid w:val="00B94F7A"/>
    <w:rsid w:val="00BA115E"/>
    <w:rsid w:val="00BB4858"/>
    <w:rsid w:val="00BB5E3D"/>
    <w:rsid w:val="00BC1CEA"/>
    <w:rsid w:val="00BC2B18"/>
    <w:rsid w:val="00BD6DF6"/>
    <w:rsid w:val="00BE2569"/>
    <w:rsid w:val="00BE3265"/>
    <w:rsid w:val="00BE7548"/>
    <w:rsid w:val="00BF11E4"/>
    <w:rsid w:val="00C01939"/>
    <w:rsid w:val="00C04775"/>
    <w:rsid w:val="00C14CFD"/>
    <w:rsid w:val="00C25671"/>
    <w:rsid w:val="00C25B8A"/>
    <w:rsid w:val="00C436C0"/>
    <w:rsid w:val="00C50F32"/>
    <w:rsid w:val="00C67A2B"/>
    <w:rsid w:val="00C72F59"/>
    <w:rsid w:val="00C72FA6"/>
    <w:rsid w:val="00C77DFA"/>
    <w:rsid w:val="00C9088F"/>
    <w:rsid w:val="00C91598"/>
    <w:rsid w:val="00C94830"/>
    <w:rsid w:val="00CB3C1E"/>
    <w:rsid w:val="00CC4D21"/>
    <w:rsid w:val="00CD6F21"/>
    <w:rsid w:val="00CE64CF"/>
    <w:rsid w:val="00CE6F03"/>
    <w:rsid w:val="00D048F6"/>
    <w:rsid w:val="00D07BB4"/>
    <w:rsid w:val="00D12414"/>
    <w:rsid w:val="00D1599D"/>
    <w:rsid w:val="00D178C8"/>
    <w:rsid w:val="00D25448"/>
    <w:rsid w:val="00D37202"/>
    <w:rsid w:val="00D41B31"/>
    <w:rsid w:val="00D44533"/>
    <w:rsid w:val="00D55306"/>
    <w:rsid w:val="00D6147B"/>
    <w:rsid w:val="00D66C9C"/>
    <w:rsid w:val="00D802CE"/>
    <w:rsid w:val="00D84E71"/>
    <w:rsid w:val="00D87A64"/>
    <w:rsid w:val="00D9448F"/>
    <w:rsid w:val="00DA0BCF"/>
    <w:rsid w:val="00DB0FCA"/>
    <w:rsid w:val="00DB26CC"/>
    <w:rsid w:val="00DB27DF"/>
    <w:rsid w:val="00DF1631"/>
    <w:rsid w:val="00DF3F4D"/>
    <w:rsid w:val="00DF6BC1"/>
    <w:rsid w:val="00E06CB8"/>
    <w:rsid w:val="00E24E93"/>
    <w:rsid w:val="00E33D62"/>
    <w:rsid w:val="00E3646C"/>
    <w:rsid w:val="00E36F0B"/>
    <w:rsid w:val="00E37190"/>
    <w:rsid w:val="00E3742E"/>
    <w:rsid w:val="00E41CDE"/>
    <w:rsid w:val="00E472D1"/>
    <w:rsid w:val="00E708B2"/>
    <w:rsid w:val="00E73E3A"/>
    <w:rsid w:val="00E814C3"/>
    <w:rsid w:val="00E81ECB"/>
    <w:rsid w:val="00E82FCB"/>
    <w:rsid w:val="00E95B25"/>
    <w:rsid w:val="00E961B7"/>
    <w:rsid w:val="00E975C1"/>
    <w:rsid w:val="00EA1031"/>
    <w:rsid w:val="00EB6077"/>
    <w:rsid w:val="00EC2F2C"/>
    <w:rsid w:val="00EC58DB"/>
    <w:rsid w:val="00ED2F9A"/>
    <w:rsid w:val="00ED31DD"/>
    <w:rsid w:val="00ED6BCE"/>
    <w:rsid w:val="00F0380A"/>
    <w:rsid w:val="00F1086F"/>
    <w:rsid w:val="00F14EB6"/>
    <w:rsid w:val="00F3213C"/>
    <w:rsid w:val="00F43ED1"/>
    <w:rsid w:val="00F43FC7"/>
    <w:rsid w:val="00F44014"/>
    <w:rsid w:val="00F5209F"/>
    <w:rsid w:val="00F606B6"/>
    <w:rsid w:val="00F81EFC"/>
    <w:rsid w:val="00F83DF5"/>
    <w:rsid w:val="00F8527A"/>
    <w:rsid w:val="00FB06D9"/>
    <w:rsid w:val="00FC0773"/>
    <w:rsid w:val="00FE3089"/>
    <w:rsid w:val="00FF1125"/>
    <w:rsid w:val="00FF6973"/>
    <w:rsid w:val="1EBD9178"/>
    <w:rsid w:val="28F96619"/>
    <w:rsid w:val="2CEFB339"/>
    <w:rsid w:val="2EFBBC48"/>
    <w:rsid w:val="3B9D0C2F"/>
    <w:rsid w:val="3BBF1B45"/>
    <w:rsid w:val="3DFF8C80"/>
    <w:rsid w:val="3FAC72FC"/>
    <w:rsid w:val="3FDF6C0E"/>
    <w:rsid w:val="3FE95ABC"/>
    <w:rsid w:val="3FFA40FB"/>
    <w:rsid w:val="56EEFD7E"/>
    <w:rsid w:val="57B74E1B"/>
    <w:rsid w:val="591FD8F5"/>
    <w:rsid w:val="5AAC40BB"/>
    <w:rsid w:val="5DD32290"/>
    <w:rsid w:val="5DDDB392"/>
    <w:rsid w:val="5DF46E1D"/>
    <w:rsid w:val="5DFEE7D4"/>
    <w:rsid w:val="5F3743E3"/>
    <w:rsid w:val="5F7DF02E"/>
    <w:rsid w:val="5FBC2178"/>
    <w:rsid w:val="6F9B4CF3"/>
    <w:rsid w:val="6FAF0381"/>
    <w:rsid w:val="6FFF2EC6"/>
    <w:rsid w:val="77F82A80"/>
    <w:rsid w:val="7A8FFAC6"/>
    <w:rsid w:val="7AFB59A5"/>
    <w:rsid w:val="7BDFCBFF"/>
    <w:rsid w:val="7CFECE28"/>
    <w:rsid w:val="7DB18C74"/>
    <w:rsid w:val="7DBAEB37"/>
    <w:rsid w:val="7DBF1A34"/>
    <w:rsid w:val="7DEB2C32"/>
    <w:rsid w:val="7DFF523D"/>
    <w:rsid w:val="7E5F3199"/>
    <w:rsid w:val="7EF35ADA"/>
    <w:rsid w:val="7F7B04A8"/>
    <w:rsid w:val="7F7EF37E"/>
    <w:rsid w:val="7FA5EC14"/>
    <w:rsid w:val="7FD7D6B2"/>
    <w:rsid w:val="7FF37BAA"/>
    <w:rsid w:val="9DBC5BFE"/>
    <w:rsid w:val="A7EB79A2"/>
    <w:rsid w:val="ABC2528A"/>
    <w:rsid w:val="ABFD3B40"/>
    <w:rsid w:val="AE8F304D"/>
    <w:rsid w:val="AFFF087D"/>
    <w:rsid w:val="B7D56515"/>
    <w:rsid w:val="B9EF54B5"/>
    <w:rsid w:val="BE3FDE16"/>
    <w:rsid w:val="BEFF65E4"/>
    <w:rsid w:val="BF8E25D4"/>
    <w:rsid w:val="D7371D03"/>
    <w:rsid w:val="D7FE4373"/>
    <w:rsid w:val="DE7F24A6"/>
    <w:rsid w:val="ED661AE8"/>
    <w:rsid w:val="EDFF9236"/>
    <w:rsid w:val="EEFDCF1B"/>
    <w:rsid w:val="EF358C7A"/>
    <w:rsid w:val="EFBFEC5E"/>
    <w:rsid w:val="EFFFC48F"/>
    <w:rsid w:val="F2715785"/>
    <w:rsid w:val="F3D759E3"/>
    <w:rsid w:val="F7AF7DD2"/>
    <w:rsid w:val="FAFBA160"/>
    <w:rsid w:val="FBDBA10B"/>
    <w:rsid w:val="FBF77622"/>
    <w:rsid w:val="FE7F89ED"/>
    <w:rsid w:val="FE8A3653"/>
    <w:rsid w:val="FF6D7F3E"/>
    <w:rsid w:val="FFAD001C"/>
    <w:rsid w:val="FFBF67D3"/>
    <w:rsid w:val="FFD77033"/>
    <w:rsid w:val="FFDF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字符"/>
    <w:basedOn w:val="6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0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7066</Words>
  <Characters>8476</Characters>
  <Lines>87</Lines>
  <Paragraphs>24</Paragraphs>
  <TotalTime>46</TotalTime>
  <ScaleCrop>false</ScaleCrop>
  <LinksUpToDate>false</LinksUpToDate>
  <CharactersWithSpaces>8651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2023-02-22T17:06:00Z</dcterms:created>
  <dc:creator>fxhuser</dc:creator>
  <cp:lastModifiedBy>fxhuser</cp:lastModifiedBy>
  <cp:lastPrinted>2023-01-17T14:29:00Z</cp:lastPrinted>
  <dcterms:modified xsi:type="dcterms:W3CDTF">2023-04-28T17:30:12Z</dcterms:modified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54E1BD7C00A0C86C66D94464BA0C656B_42</vt:lpwstr>
  </property>
</Properties>
</file>