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ascii="仿宋_GB2312" w:hAnsi="宋体" w:eastAsia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/>
    <w:p/>
    <w:p/>
    <w:p/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周刚志    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湖南师范大学 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hint="default" w:eastAsia="仿宋_GB2312"/>
          <w:b/>
          <w:bCs/>
          <w:sz w:val="32"/>
          <w:szCs w:val="32"/>
          <w:u w:val="single"/>
          <w:lang w:eastAsia="zh-Hans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Hans"/>
        </w:rPr>
        <w:t>中国法学会法治文化研究会</w:t>
      </w:r>
      <w:r>
        <w:rPr>
          <w:rFonts w:hint="default" w:eastAsia="仿宋_GB2312"/>
          <w:b/>
          <w:bCs/>
          <w:sz w:val="32"/>
          <w:szCs w:val="32"/>
          <w:u w:val="single"/>
          <w:lang w:eastAsia="zh-Hans"/>
        </w:rPr>
        <w:t xml:space="preserve">       </w:t>
      </w:r>
    </w:p>
    <w:p>
      <w:pPr>
        <w:snapToGrid w:val="0"/>
        <w:ind w:left="1260" w:leftChars="0" w:firstLine="1606" w:firstLineChars="5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>湖南师范大学法学院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</w:t>
      </w:r>
      <w:r>
        <w:rPr>
          <w:rFonts w:hint="default" w:eastAsia="仿宋_GB2312"/>
          <w:b/>
          <w:bCs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</w:t>
      </w: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</w:t>
      </w:r>
      <w:r>
        <w:fldChar w:fldCharType="begin"/>
      </w:r>
      <w:r>
        <w:instrText xml:space="preserve"> HYPERLINK "mailto:qnfxj2022@163.com" </w:instrText>
      </w:r>
      <w:r>
        <w:fldChar w:fldCharType="separate"/>
      </w:r>
      <w:r>
        <w:rPr>
          <w:rStyle w:val="10"/>
          <w:rFonts w:hint="eastAsia" w:ascii="仿宋" w:hAnsi="仿宋" w:eastAsia="仿宋"/>
          <w:color w:val="000000"/>
          <w:sz w:val="28"/>
          <w:szCs w:val="28"/>
        </w:rPr>
        <w:t>qnfxj2022@163.com</w:t>
      </w:r>
      <w:r>
        <w:rPr>
          <w:rStyle w:val="10"/>
          <w:rFonts w:hint="eastAsia" w:ascii="仿宋" w:hAnsi="仿宋" w:eastAsia="仿宋"/>
          <w:color w:val="000000"/>
          <w:sz w:val="28"/>
          <w:szCs w:val="28"/>
        </w:rPr>
        <w:fldChar w:fldCharType="end"/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</w:p>
    <w:p>
      <w:pPr>
        <w:rPr>
          <w:rFonts w:ascii="宋体" w:hAnsi="宋体"/>
          <w:b/>
          <w:bCs/>
          <w:color w:val="000000"/>
          <w:sz w:val="24"/>
        </w:rPr>
      </w:pPr>
    </w:p>
    <w:tbl>
      <w:tblPr>
        <w:tblStyle w:val="6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周刚志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男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drawing>
                <wp:inline distT="0" distB="0" distL="114300" distR="114300">
                  <wp:extent cx="1120775" cy="1666240"/>
                  <wp:effectExtent l="0" t="0" r="9525" b="10160"/>
                  <wp:docPr id="1" name="图片 1" descr="老师的证件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老师的证件照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166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1977.02.08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汉族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博士研究生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教授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湖南师范大学法学院副院长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湖南省长沙市湖南师范大学法学院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湖南省长沙市岳麓区麓山路36号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jc w:val="both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发表论文150篇（其中CSSCI刊物论文50篇），在中国人民大学出版社等出版社出版个人专著、合著6本，主编或者参编各类法学教材10多本，《公法学刊》主编“部门宪法丛书总主编”“文化法学丛书总主编”。代表作品如下：</w:t>
            </w:r>
          </w:p>
          <w:p>
            <w:pPr>
              <w:tabs>
                <w:tab w:val="left" w:pos="4185"/>
              </w:tabs>
              <w:snapToGrid w:val="0"/>
              <w:ind w:firstLine="482" w:firstLineChars="200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一、专著类</w:t>
            </w:r>
          </w:p>
          <w:p>
            <w:pPr>
              <w:pStyle w:val="12"/>
              <w:numPr>
                <w:ilvl w:val="1"/>
                <w:numId w:val="2"/>
              </w:numPr>
              <w:snapToGrid w:val="0"/>
              <w:ind w:left="884" w:hanging="426" w:firstLineChars="0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《财政转型的宪法原理》（独著；2014.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06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；中国人民大学出版社；3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0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万字）</w:t>
            </w:r>
          </w:p>
          <w:p>
            <w:pPr>
              <w:pStyle w:val="12"/>
              <w:numPr>
                <w:ilvl w:val="1"/>
                <w:numId w:val="2"/>
              </w:numPr>
              <w:snapToGrid w:val="0"/>
              <w:ind w:left="884" w:hanging="426" w:firstLineChars="0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《宪法学专论》（合著、第三作者；2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006.11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；科学出版社；3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2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万字）</w:t>
            </w:r>
          </w:p>
          <w:p>
            <w:pPr>
              <w:pStyle w:val="12"/>
              <w:numPr>
                <w:ilvl w:val="1"/>
                <w:numId w:val="2"/>
              </w:numPr>
              <w:snapToGrid w:val="0"/>
              <w:ind w:left="884" w:hanging="426" w:firstLineChars="0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《行政法学专论》（独著；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2009.07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；厦门大学出版社，3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3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万字）</w:t>
            </w:r>
          </w:p>
          <w:p>
            <w:pPr>
              <w:pStyle w:val="12"/>
              <w:numPr>
                <w:ilvl w:val="1"/>
                <w:numId w:val="2"/>
              </w:numPr>
              <w:snapToGrid w:val="0"/>
              <w:ind w:left="884" w:hanging="426" w:firstLineChars="0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《弱势群体宪法权利研究》（合著、第一作者；2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017.04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；中国政法大学出版社；2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5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万字）</w:t>
            </w:r>
          </w:p>
          <w:p>
            <w:pPr>
              <w:pStyle w:val="12"/>
              <w:numPr>
                <w:ilvl w:val="1"/>
                <w:numId w:val="2"/>
              </w:numPr>
              <w:snapToGrid w:val="0"/>
              <w:ind w:left="884" w:hanging="426" w:firstLineChars="0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《论文化法：理念与规范》（主编；2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019.05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；中国政法大学出版社；2</w:t>
            </w:r>
            <w:r>
              <w:rPr>
                <w:rFonts w:ascii="楷体_GB2312" w:hAnsi="楷体" w:eastAsia="楷体_GB2312"/>
                <w:bCs/>
                <w:color w:val="000000"/>
                <w:sz w:val="24"/>
              </w:rPr>
              <w:t>8</w:t>
            </w:r>
            <w:r>
              <w:rPr>
                <w:rFonts w:hint="eastAsia" w:ascii="楷体_GB2312" w:hAnsi="楷体" w:eastAsia="楷体_GB2312"/>
                <w:bCs/>
                <w:color w:val="000000"/>
                <w:sz w:val="24"/>
              </w:rPr>
              <w:t>万字）</w:t>
            </w:r>
          </w:p>
          <w:p>
            <w:pPr>
              <w:tabs>
                <w:tab w:val="left" w:pos="4185"/>
              </w:tabs>
              <w:snapToGrid w:val="0"/>
              <w:ind w:firstLine="482" w:firstLineChars="200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二、论文类</w:t>
            </w:r>
          </w:p>
          <w:p>
            <w:pPr>
              <w:pStyle w:val="12"/>
              <w:numPr>
                <w:ilvl w:val="0"/>
                <w:numId w:val="3"/>
              </w:numPr>
              <w:snapToGrid w:val="0"/>
              <w:ind w:left="851" w:firstLineChars="0"/>
              <w:rPr>
                <w:rFonts w:ascii="楷体_GB2312" w:hAnsi="楷体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auto"/>
                <w:sz w:val="24"/>
              </w:rPr>
              <w:t>《论消极权利与积极权利》，（独著；2015.05.13；法学评论；被引用数44）</w:t>
            </w:r>
          </w:p>
          <w:p>
            <w:pPr>
              <w:pStyle w:val="12"/>
              <w:numPr>
                <w:ilvl w:val="0"/>
                <w:numId w:val="3"/>
              </w:numPr>
              <w:snapToGrid w:val="0"/>
              <w:ind w:left="851" w:firstLineChars="0"/>
              <w:rPr>
                <w:rFonts w:ascii="楷体_GB2312" w:hAnsi="楷体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auto"/>
                <w:sz w:val="24"/>
              </w:rPr>
              <w:t>《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"http://kns.cnki.net/kns/detail/detail.aspx?QueryID=8&amp;CurRec=5&amp;DbCode=%20CJFD&amp;dbname=CJFD2006&amp;filename=XDFX200604006&amp;urlid=&amp;yx=" \t "http://kns.cnki.net/kns/brief/_blank" </w:instrText>
            </w:r>
            <w:r>
              <w:rPr>
                <w:color w:val="auto"/>
              </w:rPr>
              <w:fldChar w:fldCharType="separate"/>
            </w:r>
            <w:r>
              <w:rPr>
                <w:rFonts w:hint="eastAsia" w:ascii="楷体_GB2312" w:hAnsi="楷体" w:eastAsia="楷体_GB2312"/>
                <w:bCs/>
                <w:color w:val="auto"/>
                <w:sz w:val="24"/>
              </w:rPr>
              <w:t>公物概念及其在我国的适用——兼析&lt;物权法草案(征求意见稿)&gt;相关条款</w:t>
            </w:r>
            <w:r>
              <w:rPr>
                <w:rFonts w:hint="eastAsia" w:ascii="楷体_GB2312" w:hAnsi="楷体" w:eastAsia="楷体_GB2312"/>
                <w:bCs/>
                <w:color w:val="auto"/>
                <w:sz w:val="24"/>
              </w:rPr>
              <w:fldChar w:fldCharType="end"/>
            </w:r>
            <w:r>
              <w:rPr>
                <w:rFonts w:hint="eastAsia" w:ascii="楷体_GB2312" w:hAnsi="楷体" w:eastAsia="楷体_GB2312"/>
                <w:bCs/>
                <w:color w:val="auto"/>
                <w:sz w:val="24"/>
              </w:rPr>
              <w:t>》，（独著；2006.07.15；现代法学；被引用数36）</w:t>
            </w:r>
          </w:p>
          <w:p>
            <w:pPr>
              <w:pStyle w:val="12"/>
              <w:numPr>
                <w:ilvl w:val="0"/>
                <w:numId w:val="3"/>
              </w:numPr>
              <w:snapToGrid w:val="0"/>
              <w:ind w:left="851" w:firstLineChars="0"/>
              <w:rPr>
                <w:rFonts w:ascii="楷体_GB2312" w:hAnsi="楷体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auto"/>
                <w:sz w:val="24"/>
              </w:rPr>
              <w:t>《论我国府际关系的法治化——以我国政府间财政关系为切入点》，（独著；2008.03.15；法商研究；被引用数29）</w:t>
            </w:r>
          </w:p>
          <w:p>
            <w:pPr>
              <w:pStyle w:val="12"/>
              <w:numPr>
                <w:ilvl w:val="0"/>
                <w:numId w:val="3"/>
              </w:numPr>
              <w:snapToGrid w:val="0"/>
              <w:ind w:left="851" w:firstLineChars="0"/>
              <w:rPr>
                <w:rFonts w:ascii="楷体_GB2312" w:hAnsi="楷体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auto"/>
                <w:sz w:val="24"/>
              </w:rPr>
              <w:t>《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 HYPERLINK "http://kns.cnki.net/kns/detail/detail.aspx?QueryID=3&amp;CurRec=20&amp;DbCode=%20CJFD&amp;dbname=CJFD2010&amp;filename=FXPL201003000&amp;urlid=&amp;yx=" \t "http://kns.cnki.net/kns/brief/_blank" </w:instrText>
            </w:r>
            <w:r>
              <w:rPr>
                <w:color w:val="auto"/>
              </w:rPr>
              <w:fldChar w:fldCharType="separate"/>
            </w:r>
            <w:r>
              <w:rPr>
                <w:rFonts w:hint="eastAsia" w:ascii="楷体_GB2312" w:hAnsi="楷体" w:eastAsia="楷体_GB2312"/>
                <w:bCs/>
                <w:color w:val="auto"/>
                <w:sz w:val="24"/>
              </w:rPr>
              <w:t>部门宪法释义学刍议</w:t>
            </w:r>
            <w:r>
              <w:rPr>
                <w:rFonts w:hint="eastAsia" w:ascii="楷体_GB2312" w:hAnsi="楷体" w:eastAsia="楷体_GB2312"/>
                <w:bCs/>
                <w:color w:val="auto"/>
                <w:sz w:val="24"/>
              </w:rPr>
              <w:fldChar w:fldCharType="end"/>
            </w:r>
            <w:r>
              <w:rPr>
                <w:rFonts w:hint="eastAsia" w:ascii="楷体_GB2312" w:hAnsi="楷体" w:eastAsia="楷体_GB2312"/>
                <w:bCs/>
                <w:color w:val="auto"/>
                <w:sz w:val="24"/>
              </w:rPr>
              <w:t>》，（独著；2010.05.13；法学评论；被引用数28）</w:t>
            </w:r>
          </w:p>
          <w:p>
            <w:pPr>
              <w:pStyle w:val="12"/>
              <w:numPr>
                <w:ilvl w:val="0"/>
                <w:numId w:val="3"/>
              </w:numPr>
              <w:snapToGrid w:val="0"/>
              <w:ind w:left="851" w:firstLineChars="0"/>
              <w:rPr>
                <w:rFonts w:ascii="楷体_GB2312" w:hAnsi="楷体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auto"/>
                <w:sz w:val="24"/>
              </w:rPr>
              <w:t>《论行政调查取证行为之合法性控制》，（独著；2010.03.10；江苏行政学院学报；2010.03.10；26）</w:t>
            </w:r>
          </w:p>
          <w:p>
            <w:pPr>
              <w:pStyle w:val="12"/>
              <w:numPr>
                <w:ilvl w:val="0"/>
                <w:numId w:val="3"/>
              </w:numPr>
              <w:snapToGrid w:val="0"/>
              <w:ind w:left="851" w:firstLineChars="0"/>
              <w:rPr>
                <w:rFonts w:ascii="楷体_GB2312" w:hAnsi="楷体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auto"/>
                <w:sz w:val="24"/>
              </w:rPr>
              <w:t>《论合宪性解释》，（独著；2010.01.15；浙江社会科学；被引用数25）</w:t>
            </w:r>
          </w:p>
          <w:p>
            <w:pPr>
              <w:pStyle w:val="12"/>
              <w:numPr>
                <w:ilvl w:val="0"/>
                <w:numId w:val="3"/>
              </w:numPr>
              <w:snapToGrid w:val="0"/>
              <w:ind w:left="851" w:firstLineChars="0"/>
              <w:rPr>
                <w:rFonts w:ascii="楷体_GB2312" w:hAnsi="楷体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auto"/>
                <w:sz w:val="24"/>
              </w:rPr>
              <w:t>《财政宪法学初论》，（独著；2005.03.28；厦门大学学报（哲社版）；被引用数24）</w:t>
            </w:r>
          </w:p>
          <w:p>
            <w:pPr>
              <w:pStyle w:val="12"/>
              <w:numPr>
                <w:ilvl w:val="0"/>
                <w:numId w:val="3"/>
              </w:numPr>
              <w:snapToGrid w:val="0"/>
              <w:ind w:left="851" w:firstLineChars="0"/>
              <w:rPr>
                <w:rFonts w:ascii="楷体_GB2312" w:hAnsi="楷体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auto"/>
                <w:sz w:val="24"/>
              </w:rPr>
              <w:t>《论中国文化产业的立法模式——以社会主义核心价值观为价值引导》，（合著、第一作者；2</w:t>
            </w:r>
            <w:r>
              <w:rPr>
                <w:rFonts w:ascii="楷体_GB2312" w:hAnsi="楷体" w:eastAsia="楷体_GB2312"/>
                <w:bCs/>
                <w:color w:val="auto"/>
                <w:sz w:val="24"/>
              </w:rPr>
              <w:t>019.04.11</w:t>
            </w:r>
            <w:r>
              <w:rPr>
                <w:rFonts w:hint="eastAsia" w:ascii="楷体_GB2312" w:hAnsi="楷体" w:eastAsia="楷体_GB2312"/>
                <w:bCs/>
                <w:color w:val="auto"/>
                <w:sz w:val="24"/>
              </w:rPr>
              <w:t>；湖南大学学报(社会科学版)；被引用数2</w:t>
            </w:r>
            <w:r>
              <w:rPr>
                <w:rFonts w:ascii="楷体_GB2312" w:hAnsi="楷体" w:eastAsia="楷体_GB2312"/>
                <w:bCs/>
                <w:color w:val="auto"/>
                <w:sz w:val="24"/>
              </w:rPr>
              <w:t>1</w:t>
            </w:r>
            <w:r>
              <w:rPr>
                <w:rFonts w:hint="eastAsia" w:ascii="楷体_GB2312" w:hAnsi="楷体" w:eastAsia="楷体_GB2312"/>
                <w:bCs/>
                <w:color w:val="auto"/>
                <w:sz w:val="24"/>
              </w:rPr>
              <w:t>）</w:t>
            </w:r>
          </w:p>
          <w:p>
            <w:pPr>
              <w:pStyle w:val="12"/>
              <w:numPr>
                <w:ilvl w:val="0"/>
                <w:numId w:val="3"/>
              </w:numPr>
              <w:snapToGrid w:val="0"/>
              <w:ind w:left="851" w:firstLineChars="0"/>
              <w:rPr>
                <w:rFonts w:ascii="楷体_GB2312" w:hAnsi="楷体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auto"/>
                <w:sz w:val="24"/>
              </w:rPr>
              <w:t>《论中国文化法律体系之基本构成》，（独著；2015.02.15；浙江社会科学；被引用数18）</w:t>
            </w:r>
          </w:p>
          <w:p>
            <w:pPr>
              <w:pStyle w:val="12"/>
              <w:numPr>
                <w:ilvl w:val="0"/>
                <w:numId w:val="3"/>
              </w:numPr>
              <w:snapToGrid w:val="0"/>
              <w:ind w:left="851" w:firstLineChars="0"/>
              <w:rPr>
                <w:rFonts w:ascii="楷体_GB2312" w:hAnsi="楷体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auto"/>
                <w:sz w:val="24"/>
              </w:rPr>
              <w:t>《“两法衔接”的制度法理——基于“优化营商环境”的视角》，（合著、第一作者；2</w:t>
            </w:r>
            <w:r>
              <w:rPr>
                <w:rFonts w:ascii="楷体_GB2312" w:hAnsi="楷体" w:eastAsia="楷体_GB2312"/>
                <w:bCs/>
                <w:color w:val="auto"/>
                <w:sz w:val="24"/>
              </w:rPr>
              <w:t>021.03.11</w:t>
            </w:r>
            <w:r>
              <w:rPr>
                <w:rFonts w:hint="eastAsia" w:ascii="楷体_GB2312" w:hAnsi="楷体" w:eastAsia="楷体_GB2312"/>
                <w:bCs/>
                <w:color w:val="auto"/>
                <w:sz w:val="24"/>
              </w:rPr>
              <w:t>；法学评论；被引用数1</w:t>
            </w:r>
            <w:r>
              <w:rPr>
                <w:rFonts w:ascii="楷体_GB2312" w:hAnsi="楷体" w:eastAsia="楷体_GB2312"/>
                <w:bCs/>
                <w:color w:val="auto"/>
                <w:sz w:val="24"/>
              </w:rPr>
              <w:t>4</w:t>
            </w:r>
            <w:r>
              <w:rPr>
                <w:rFonts w:hint="eastAsia" w:ascii="楷体_GB2312" w:hAnsi="楷体" w:eastAsia="楷体_GB2312"/>
                <w:bCs/>
                <w:color w:val="auto"/>
                <w:sz w:val="24"/>
              </w:rPr>
              <w:t>）</w:t>
            </w:r>
          </w:p>
          <w:p>
            <w:pPr>
              <w:pStyle w:val="12"/>
              <w:numPr>
                <w:ilvl w:val="0"/>
                <w:numId w:val="3"/>
              </w:numPr>
              <w:snapToGrid w:val="0"/>
              <w:ind w:left="851" w:firstLineChars="0"/>
              <w:rPr>
                <w:rFonts w:ascii="楷体_GB2312" w:hAnsi="楷体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auto"/>
                <w:sz w:val="24"/>
              </w:rPr>
              <w:t>《论“财政国家”的宪法类型及其中国模式》，（独著；2012.01.13；法学评论；被引用数14）</w:t>
            </w:r>
          </w:p>
          <w:p>
            <w:pPr>
              <w:pStyle w:val="12"/>
              <w:numPr>
                <w:ilvl w:val="0"/>
                <w:numId w:val="3"/>
              </w:numPr>
              <w:snapToGrid w:val="0"/>
              <w:ind w:left="851" w:firstLineChars="0"/>
              <w:rPr>
                <w:rFonts w:ascii="楷体_GB2312" w:hAnsi="楷体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auto"/>
                <w:sz w:val="24"/>
              </w:rPr>
              <w:t>《论税收债权的消灭时效》，（独著；2011.03.01；税务研究；被引用数14）</w:t>
            </w:r>
          </w:p>
          <w:p>
            <w:pPr>
              <w:pStyle w:val="12"/>
              <w:numPr>
                <w:ilvl w:val="0"/>
                <w:numId w:val="3"/>
              </w:numPr>
              <w:snapToGrid w:val="0"/>
              <w:ind w:left="851" w:firstLineChars="0"/>
              <w:rPr>
                <w:rFonts w:ascii="楷体_GB2312" w:hAnsi="楷体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auto"/>
                <w:sz w:val="24"/>
              </w:rPr>
              <w:t>《图书馆信息网络传播权研究》，（合著、第一作者；图书馆工作与研究；2</w:t>
            </w:r>
            <w:r>
              <w:rPr>
                <w:rFonts w:ascii="楷体_GB2312" w:hAnsi="楷体" w:eastAsia="楷体_GB2312"/>
                <w:bCs/>
                <w:color w:val="auto"/>
                <w:sz w:val="24"/>
              </w:rPr>
              <w:t>018.05.21</w:t>
            </w:r>
            <w:r>
              <w:rPr>
                <w:rFonts w:hint="eastAsia" w:ascii="楷体_GB2312" w:hAnsi="楷体" w:eastAsia="楷体_GB2312"/>
                <w:bCs/>
                <w:color w:val="auto"/>
                <w:sz w:val="24"/>
              </w:rPr>
              <w:t>；被引用数1</w:t>
            </w:r>
            <w:r>
              <w:rPr>
                <w:rFonts w:ascii="楷体_GB2312" w:hAnsi="楷体" w:eastAsia="楷体_GB2312"/>
                <w:bCs/>
                <w:color w:val="auto"/>
                <w:sz w:val="24"/>
              </w:rPr>
              <w:t>3</w:t>
            </w:r>
            <w:r>
              <w:rPr>
                <w:rFonts w:hint="eastAsia" w:ascii="楷体_GB2312" w:hAnsi="楷体" w:eastAsia="楷体_GB2312"/>
                <w:bCs/>
                <w:color w:val="auto"/>
                <w:sz w:val="24"/>
              </w:rPr>
              <w:t>）</w:t>
            </w:r>
          </w:p>
          <w:p>
            <w:pPr>
              <w:pStyle w:val="12"/>
              <w:numPr>
                <w:ilvl w:val="0"/>
                <w:numId w:val="3"/>
              </w:numPr>
              <w:snapToGrid w:val="0"/>
              <w:ind w:left="851" w:firstLineChars="0"/>
              <w:rPr>
                <w:rFonts w:ascii="楷体_GB2312" w:hAnsi="楷体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auto"/>
                <w:sz w:val="24"/>
              </w:rPr>
              <w:t>《学术研究自由权的宪法比较分析》，（独著；2017.03.13；法学评论；被引用数6）</w:t>
            </w:r>
          </w:p>
          <w:p>
            <w:pPr>
              <w:pStyle w:val="12"/>
              <w:numPr>
                <w:ilvl w:val="0"/>
                <w:numId w:val="3"/>
              </w:numPr>
              <w:snapToGrid w:val="0"/>
              <w:ind w:left="851" w:firstLineChars="0"/>
              <w:rPr>
                <w:rFonts w:ascii="楷体_GB2312" w:hAnsi="楷体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auto"/>
                <w:sz w:val="24"/>
              </w:rPr>
              <w:t>《论国家文化法制体系——基于文化与法治关系的理论视角》，（独著；2020.12.10；政法论丛；被引用数6）</w:t>
            </w:r>
          </w:p>
          <w:p>
            <w:pPr>
              <w:pStyle w:val="12"/>
              <w:numPr>
                <w:ilvl w:val="0"/>
                <w:numId w:val="3"/>
              </w:numPr>
              <w:snapToGrid w:val="0"/>
              <w:ind w:left="851" w:firstLineChars="0"/>
              <w:rPr>
                <w:rFonts w:ascii="楷体_GB2312" w:hAnsi="楷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auto"/>
                <w:sz w:val="24"/>
              </w:rPr>
              <w:t>《论优秀传统法治文化在文化强国建设中的意义》，（独著；2022.07.10；民主与法制；被引用数6）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4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pStyle w:val="12"/>
              <w:tabs>
                <w:tab w:val="left" w:pos="4185"/>
              </w:tabs>
              <w:snapToGrid w:val="0"/>
              <w:ind w:left="240" w:firstLine="0" w:firstLineChars="0"/>
              <w:jc w:val="left"/>
              <w:rPr>
                <w:rFonts w:ascii="楷体_GB2312" w:hAnsi="楷体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auto"/>
                <w:sz w:val="24"/>
              </w:rPr>
              <w:t>2013年入选湖南省青年社会科学研究人才“百人工程”</w:t>
            </w:r>
          </w:p>
          <w:p>
            <w:pPr>
              <w:pStyle w:val="12"/>
              <w:tabs>
                <w:tab w:val="left" w:pos="4185"/>
              </w:tabs>
              <w:snapToGrid w:val="0"/>
              <w:ind w:left="240" w:firstLine="0" w:firstLineChars="0"/>
              <w:jc w:val="left"/>
              <w:rPr>
                <w:rFonts w:ascii="楷体_GB2312" w:hAnsi="楷体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auto"/>
                <w:sz w:val="24"/>
              </w:rPr>
              <w:t>2018年湖南省“重点智库·特色智库”首席专家</w:t>
            </w:r>
          </w:p>
          <w:p>
            <w:pPr>
              <w:pStyle w:val="12"/>
              <w:tabs>
                <w:tab w:val="left" w:pos="4185"/>
              </w:tabs>
              <w:snapToGrid w:val="0"/>
              <w:ind w:left="240" w:firstLine="0" w:firstLineChars="0"/>
              <w:jc w:val="left"/>
              <w:rPr>
                <w:rFonts w:ascii="楷体_GB2312" w:hAnsi="楷体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auto"/>
                <w:sz w:val="24"/>
              </w:rPr>
              <w:t>2020年湖南省芙蓉青年学者</w:t>
            </w:r>
          </w:p>
          <w:p>
            <w:pPr>
              <w:pStyle w:val="12"/>
              <w:tabs>
                <w:tab w:val="left" w:pos="4185"/>
              </w:tabs>
              <w:snapToGrid w:val="0"/>
              <w:ind w:left="240" w:firstLine="0" w:firstLineChars="0"/>
              <w:jc w:val="left"/>
              <w:rPr>
                <w:rFonts w:ascii="楷体_GB2312" w:hAnsi="楷体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auto"/>
                <w:sz w:val="24"/>
              </w:rPr>
              <w:t>2020年入选“文化和旅游部优秀专家”</w:t>
            </w:r>
          </w:p>
          <w:p>
            <w:pPr>
              <w:pStyle w:val="12"/>
              <w:tabs>
                <w:tab w:val="left" w:pos="4185"/>
              </w:tabs>
              <w:snapToGrid w:val="0"/>
              <w:ind w:left="240" w:firstLine="0" w:firstLineChars="0"/>
              <w:jc w:val="left"/>
              <w:rPr>
                <w:rFonts w:ascii="楷体_GB2312" w:hAnsi="楷体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auto"/>
                <w:sz w:val="24"/>
              </w:rPr>
              <w:t>2021年，被聘为湖南省人大立法咨询专家，入选文化和旅游部法治专家委员会委员</w:t>
            </w:r>
          </w:p>
          <w:p>
            <w:pPr>
              <w:pStyle w:val="12"/>
              <w:tabs>
                <w:tab w:val="left" w:pos="4185"/>
              </w:tabs>
              <w:snapToGrid w:val="0"/>
              <w:ind w:left="240" w:firstLine="0" w:firstLineChars="0"/>
              <w:jc w:val="left"/>
              <w:rPr>
                <w:rFonts w:ascii="楷体_GB2312" w:hAnsi="楷体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auto"/>
                <w:sz w:val="24"/>
              </w:rPr>
              <w:t>201</w:t>
            </w:r>
            <w:r>
              <w:rPr>
                <w:rFonts w:ascii="楷体_GB2312" w:hAnsi="楷体" w:eastAsia="楷体_GB2312"/>
                <w:bCs/>
                <w:color w:val="auto"/>
                <w:sz w:val="24"/>
              </w:rPr>
              <w:t>9</w:t>
            </w:r>
            <w:r>
              <w:rPr>
                <w:rFonts w:hint="eastAsia" w:ascii="楷体_GB2312" w:hAnsi="楷体" w:eastAsia="楷体_GB2312"/>
                <w:bCs/>
                <w:color w:val="auto"/>
                <w:sz w:val="24"/>
              </w:rPr>
              <w:t>年，中国社会科学院《2018年中国智库成果与人才评价报告》“中国智库创新人才奖”入围名单。</w:t>
            </w:r>
          </w:p>
          <w:p>
            <w:pPr>
              <w:pStyle w:val="12"/>
              <w:tabs>
                <w:tab w:val="left" w:pos="4185"/>
              </w:tabs>
              <w:snapToGrid w:val="0"/>
              <w:ind w:left="240" w:firstLine="0" w:firstLineChars="0"/>
              <w:jc w:val="left"/>
              <w:rPr>
                <w:rFonts w:ascii="楷体_GB2312" w:hAnsi="楷体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auto"/>
                <w:sz w:val="24"/>
              </w:rPr>
              <w:t>个人专著《行政法学专论》（厦门大学出版社2009年版）2010年荣获福建省政法委、福建省法学会颁发的“第三届福建省优秀法学研究成果奖”，副省级奖励。</w:t>
            </w:r>
          </w:p>
          <w:p>
            <w:pPr>
              <w:pStyle w:val="12"/>
              <w:tabs>
                <w:tab w:val="left" w:pos="4185"/>
              </w:tabs>
              <w:snapToGrid w:val="0"/>
              <w:ind w:left="240" w:firstLine="0" w:firstLineChars="0"/>
              <w:jc w:val="left"/>
              <w:rPr>
                <w:rFonts w:ascii="楷体_GB2312" w:hAnsi="楷体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auto"/>
                <w:sz w:val="24"/>
              </w:rPr>
              <w:t>2012年9月1日，获得第四届法治政府·南岳论坛优秀论文奖（《“两型社会”建设之法制构造》一文），湖南省政府、中国行为法学会、中南大学共同颁发，省部级奖励。</w:t>
            </w:r>
          </w:p>
          <w:p>
            <w:pPr>
              <w:pStyle w:val="12"/>
              <w:tabs>
                <w:tab w:val="left" w:pos="4185"/>
              </w:tabs>
              <w:snapToGrid w:val="0"/>
              <w:ind w:left="240" w:firstLine="0" w:firstLineChars="0"/>
              <w:jc w:val="left"/>
              <w:rPr>
                <w:rFonts w:ascii="楷体_GB2312" w:hAnsi="楷体" w:eastAsia="楷体_GB2312"/>
                <w:bCs/>
                <w:color w:val="0C0C0C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auto"/>
                <w:sz w:val="24"/>
              </w:rPr>
              <w:t>2012年12月1</w:t>
            </w:r>
            <w:r>
              <w:rPr>
                <w:rFonts w:hint="eastAsia" w:ascii="楷体_GB2312" w:hAnsi="楷体" w:eastAsia="楷体_GB2312"/>
                <w:bCs/>
                <w:color w:val="0C0C0C"/>
                <w:sz w:val="24"/>
              </w:rPr>
              <w:t>0日，《论中国社会主义法律体系形成之后地方人大的法治使命》一文，荣获湖南省人大常委会研究室“全省纪念现行宪法公布实施30周年暨人大工作理论研讨会”“二等奖”，厅局级奖励。</w:t>
            </w:r>
          </w:p>
          <w:p>
            <w:pPr>
              <w:pStyle w:val="12"/>
              <w:tabs>
                <w:tab w:val="left" w:pos="4185"/>
              </w:tabs>
              <w:snapToGrid w:val="0"/>
              <w:ind w:left="240" w:firstLine="0" w:firstLineChars="0"/>
              <w:jc w:val="left"/>
              <w:rPr>
                <w:rFonts w:ascii="楷体_GB2312" w:hAnsi="楷体" w:eastAsia="楷体_GB2312"/>
                <w:bCs/>
                <w:color w:val="0C0C0C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C0C0C"/>
                <w:sz w:val="24"/>
              </w:rPr>
              <w:t>2015年11月，撰写的《人民政协民主协商职能之宪法解读--基于中国共产党协商民主理论的视角》一文，获得湖南统战理论与实践创新研讨会论文评选三等奖，中共湖南省委统战部颁发，厅局级奖励。</w:t>
            </w:r>
          </w:p>
          <w:p>
            <w:pPr>
              <w:pStyle w:val="12"/>
              <w:tabs>
                <w:tab w:val="left" w:pos="4185"/>
              </w:tabs>
              <w:snapToGrid w:val="0"/>
              <w:ind w:left="240" w:firstLine="0" w:firstLineChars="0"/>
              <w:jc w:val="left"/>
              <w:rPr>
                <w:rFonts w:ascii="楷体_GB2312" w:hAnsi="楷体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auto"/>
                <w:sz w:val="24"/>
              </w:rPr>
              <w:t>2016年10月10日，《论“消极权利”与“积极权利”--中国宪法权利性质之实证分析》一文，荣获第九届中青年宪法学者优秀科研成果奖二等奖（中国宪法学研究会颁发，厅局级奖励。</w:t>
            </w:r>
          </w:p>
          <w:p>
            <w:pPr>
              <w:pStyle w:val="12"/>
              <w:tabs>
                <w:tab w:val="left" w:pos="4185"/>
              </w:tabs>
              <w:snapToGrid w:val="0"/>
              <w:ind w:left="240" w:firstLine="0" w:firstLineChars="0"/>
              <w:jc w:val="left"/>
              <w:rPr>
                <w:rFonts w:ascii="楷体_GB2312" w:hAnsi="楷体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auto"/>
                <w:sz w:val="24"/>
              </w:rPr>
              <w:t>2016年12月10日，《中国财政国家模式的困境及其突破--“供给侧改革”的财税法分析》一文，在“2016中国税法论坛暨第五届中国税务律师和税务师论坛”论文中荣获一等奖，中华全国律师协会、中国注册税务师协会颁发，厅局级奖励。</w:t>
            </w:r>
          </w:p>
          <w:p>
            <w:pPr>
              <w:pStyle w:val="12"/>
              <w:tabs>
                <w:tab w:val="left" w:pos="4185"/>
              </w:tabs>
              <w:snapToGrid w:val="0"/>
              <w:ind w:left="240" w:firstLine="0" w:firstLineChars="0"/>
              <w:jc w:val="left"/>
              <w:rPr>
                <w:rFonts w:ascii="楷体_GB2312" w:hAnsi="楷体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auto"/>
                <w:sz w:val="24"/>
              </w:rPr>
              <w:t>2017年2月，撰写的《城镇化进程中的民族交往交融问题研究》一文，荣获2016年度全省统战理论政策研究成果一等奖，厅局级奖励。</w:t>
            </w:r>
          </w:p>
          <w:p>
            <w:pPr>
              <w:pStyle w:val="12"/>
              <w:tabs>
                <w:tab w:val="left" w:pos="4185"/>
              </w:tabs>
              <w:snapToGrid w:val="0"/>
              <w:ind w:left="240" w:firstLine="0" w:firstLineChars="0"/>
              <w:jc w:val="left"/>
              <w:rPr>
                <w:rFonts w:ascii="楷体_GB2312" w:hAnsi="楷体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auto"/>
                <w:sz w:val="24"/>
              </w:rPr>
              <w:t>2017年2月，中南大学《打造统一战线“参政议政工作室”助力党外人士履职》（担任中南大学参政议政工作室副主任并主持工作期间），获得2016年度全省统战工作实践创新成果奖，厅局级奖励。</w:t>
            </w:r>
          </w:p>
          <w:p>
            <w:pPr>
              <w:pStyle w:val="12"/>
              <w:tabs>
                <w:tab w:val="left" w:pos="4185"/>
              </w:tabs>
              <w:snapToGrid w:val="0"/>
              <w:ind w:left="240" w:firstLine="0" w:firstLineChars="0"/>
              <w:jc w:val="left"/>
              <w:rPr>
                <w:rFonts w:ascii="楷体_GB2312" w:hAnsi="楷体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auto"/>
                <w:sz w:val="24"/>
              </w:rPr>
              <w:t>2017年湖南省文化厅重大课题“文化文物单位文创产品开发的知识产权保护与运营研究”课题组课题，课题报告荣获全国文化系统2017年度优秀调研报告。</w:t>
            </w:r>
          </w:p>
          <w:p>
            <w:pPr>
              <w:pStyle w:val="12"/>
              <w:tabs>
                <w:tab w:val="left" w:pos="4185"/>
              </w:tabs>
              <w:snapToGrid w:val="0"/>
              <w:ind w:left="240" w:firstLine="0" w:firstLineChars="0"/>
              <w:jc w:val="left"/>
              <w:rPr>
                <w:rFonts w:ascii="楷体_GB2312" w:hAnsi="楷体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auto"/>
                <w:sz w:val="24"/>
              </w:rPr>
              <w:t>2018年5月，中南大学中国文化法研究中心入选“湖南省省级重点智库·专业特色智库”，副省级研究基地。</w:t>
            </w:r>
          </w:p>
          <w:p>
            <w:pPr>
              <w:pStyle w:val="12"/>
              <w:tabs>
                <w:tab w:val="left" w:pos="4185"/>
              </w:tabs>
              <w:snapToGrid w:val="0"/>
              <w:ind w:left="240" w:firstLine="0" w:firstLineChars="0"/>
              <w:jc w:val="left"/>
              <w:rPr>
                <w:rFonts w:ascii="楷体_GB2312" w:hAnsi="楷体" w:eastAsia="楷体_GB2312"/>
                <w:bCs/>
                <w:color w:val="0C0C0C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C0C0C"/>
                <w:sz w:val="24"/>
              </w:rPr>
              <w:t>2018年12月，《论法学智库研究：现状、方法与发展战略》，获得“湖湘智库论坛（2018）优秀论文奖”，厅局级奖励。</w:t>
            </w:r>
          </w:p>
          <w:p>
            <w:pPr>
              <w:pStyle w:val="12"/>
              <w:tabs>
                <w:tab w:val="left" w:pos="4185"/>
              </w:tabs>
              <w:snapToGrid w:val="0"/>
              <w:ind w:left="240" w:firstLine="0" w:firstLineChars="0"/>
              <w:jc w:val="left"/>
              <w:rPr>
                <w:rFonts w:ascii="楷体_GB2312" w:hAnsi="楷体" w:eastAsia="楷体_GB2312"/>
                <w:bCs/>
                <w:color w:val="0C0C0C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C0C0C"/>
                <w:sz w:val="24"/>
              </w:rPr>
              <w:t>2018年12月，纪念改革开放40周年全国法治书画摄影展暨“法治文化与法治中国”论坛中获得征文二等奖，法制日报社、中华全国法制新闻协会颁发，厅局级奖励。</w:t>
            </w:r>
          </w:p>
          <w:p>
            <w:pPr>
              <w:pStyle w:val="12"/>
              <w:tabs>
                <w:tab w:val="left" w:pos="4185"/>
              </w:tabs>
              <w:snapToGrid w:val="0"/>
              <w:ind w:left="240" w:firstLine="0" w:firstLineChars="0"/>
              <w:jc w:val="left"/>
              <w:rPr>
                <w:rFonts w:ascii="楷体_GB2312" w:hAnsi="楷体" w:eastAsia="楷体_GB2312"/>
                <w:bCs/>
                <w:color w:val="0C0C0C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C0C0C"/>
                <w:sz w:val="24"/>
              </w:rPr>
              <w:t>2019年1月，入围2018年中国社会科学院中国社会科学评价研究院“中国智库创新人才奖”评选。</w:t>
            </w:r>
          </w:p>
          <w:p>
            <w:pPr>
              <w:pStyle w:val="12"/>
              <w:tabs>
                <w:tab w:val="left" w:pos="4185"/>
              </w:tabs>
              <w:snapToGrid w:val="0"/>
              <w:ind w:left="240" w:firstLine="0" w:firstLineChars="0"/>
              <w:jc w:val="left"/>
              <w:rPr>
                <w:rFonts w:ascii="楷体_GB2312" w:hAnsi="楷体" w:eastAsia="楷体_GB2312"/>
                <w:bCs/>
                <w:color w:val="0C0C0C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C0C0C"/>
                <w:sz w:val="24"/>
              </w:rPr>
              <w:t>2019年1月，《论人民政协的民主监督职能》获2018年度湖南省人民政协理论研究优秀论文三等奖。</w:t>
            </w:r>
          </w:p>
          <w:p>
            <w:pPr>
              <w:pStyle w:val="12"/>
              <w:tabs>
                <w:tab w:val="left" w:pos="4185"/>
              </w:tabs>
              <w:snapToGrid w:val="0"/>
              <w:ind w:left="240" w:firstLine="0" w:firstLineChars="0"/>
              <w:jc w:val="left"/>
              <w:rPr>
                <w:rFonts w:ascii="楷体_GB2312" w:hAnsi="楷体" w:eastAsia="楷体_GB2312"/>
                <w:bCs/>
                <w:color w:val="0C0C0C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C0C0C"/>
                <w:sz w:val="24"/>
              </w:rPr>
              <w:t>2019年3月，《以文化法治保障我国文化大发展大繁荣》，获法制日报社和中华全国法制新闻协会“法治文化与法治中国”论坛二等奖，中国法学会法治文化研究会和民主与法制社“加强社会主义法治文化理论研究”征文二等奖，厅局级奖励。</w:t>
            </w:r>
          </w:p>
          <w:p>
            <w:pPr>
              <w:pStyle w:val="12"/>
              <w:tabs>
                <w:tab w:val="left" w:pos="4185"/>
              </w:tabs>
              <w:snapToGrid w:val="0"/>
              <w:ind w:left="240" w:firstLine="0" w:firstLineChars="0"/>
              <w:jc w:val="left"/>
              <w:rPr>
                <w:rFonts w:ascii="楷体_GB2312" w:hAnsi="楷体" w:eastAsia="楷体_GB2312"/>
                <w:bCs/>
                <w:color w:val="0C0C0C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C0C0C"/>
                <w:sz w:val="24"/>
              </w:rPr>
              <w:t>2019年2月，《创办“国是论坛”，建设统战高端智库》荣获2018年度全省统战工作实践创新成果奖（担任中南大学参政议政工作室副主任并主持工作期间），厅局级奖励。</w:t>
            </w:r>
          </w:p>
          <w:p>
            <w:pPr>
              <w:pStyle w:val="12"/>
              <w:tabs>
                <w:tab w:val="left" w:pos="4185"/>
              </w:tabs>
              <w:snapToGrid w:val="0"/>
              <w:ind w:left="240" w:firstLine="0" w:firstLineChars="0"/>
              <w:jc w:val="left"/>
              <w:rPr>
                <w:rFonts w:ascii="楷体_GB2312" w:hAnsi="楷体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0C0C0C"/>
                <w:sz w:val="24"/>
              </w:rPr>
              <w:t>2019年12月，中南大学中国文化法研究中心入选中华人民共和国文化和旅游部“文化</w:t>
            </w:r>
            <w:r>
              <w:rPr>
                <w:rFonts w:hint="eastAsia" w:ascii="楷体_GB2312" w:hAnsi="楷体" w:eastAsia="楷体_GB2312"/>
                <w:bCs/>
                <w:color w:val="auto"/>
                <w:sz w:val="24"/>
              </w:rPr>
              <w:t>和旅游研究基地”，部级基地。</w:t>
            </w:r>
          </w:p>
          <w:p>
            <w:pPr>
              <w:pStyle w:val="12"/>
              <w:tabs>
                <w:tab w:val="left" w:pos="4185"/>
              </w:tabs>
              <w:snapToGrid w:val="0"/>
              <w:ind w:left="240" w:firstLine="0" w:firstLineChars="0"/>
              <w:jc w:val="left"/>
              <w:rPr>
                <w:rFonts w:ascii="楷体_GB2312" w:hAnsi="楷体" w:eastAsia="楷体_GB2312"/>
                <w:bCs/>
                <w:color w:val="auto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auto"/>
                <w:sz w:val="24"/>
              </w:rPr>
              <w:t>2020年，《论地方公共文化服务立法：类型、体例与原则》获湖南省第六次地方立法理论研讨征文活动一等奖，厅局级奖励。</w:t>
            </w:r>
          </w:p>
          <w:p>
            <w:pPr>
              <w:pStyle w:val="12"/>
              <w:tabs>
                <w:tab w:val="left" w:pos="4185"/>
              </w:tabs>
              <w:snapToGrid w:val="0"/>
              <w:ind w:left="240" w:firstLine="0" w:firstLineChars="0"/>
              <w:jc w:val="left"/>
              <w:rPr>
                <w:rFonts w:ascii="楷体_GB2312" w:hAnsi="楷体" w:eastAsia="楷体_GB2312"/>
                <w:bCs/>
                <w:color w:val="FF0000"/>
                <w:sz w:val="24"/>
              </w:rPr>
            </w:pPr>
            <w:r>
              <w:rPr>
                <w:rFonts w:hint="eastAsia" w:ascii="楷体_GB2312" w:hAnsi="楷体" w:eastAsia="楷体_GB2312"/>
                <w:bCs/>
                <w:color w:val="auto"/>
                <w:sz w:val="24"/>
              </w:rPr>
              <w:t>2</w:t>
            </w:r>
            <w:r>
              <w:rPr>
                <w:rFonts w:ascii="楷体_GB2312" w:hAnsi="楷体" w:eastAsia="楷体_GB2312"/>
                <w:bCs/>
                <w:color w:val="auto"/>
                <w:sz w:val="24"/>
              </w:rPr>
              <w:t>020</w:t>
            </w:r>
            <w:r>
              <w:rPr>
                <w:rFonts w:hint="eastAsia" w:ascii="楷体_GB2312" w:hAnsi="楷体" w:eastAsia="楷体_GB2312"/>
                <w:bCs/>
                <w:color w:val="auto"/>
                <w:sz w:val="24"/>
              </w:rPr>
              <w:t>年，国家社会科学基金重点项目“中国文化法律体系及其实施机制研究”结题报告获评优秀。</w:t>
            </w:r>
          </w:p>
          <w:p>
            <w:pPr>
              <w:pStyle w:val="12"/>
              <w:tabs>
                <w:tab w:val="left" w:pos="4185"/>
              </w:tabs>
              <w:snapToGrid w:val="0"/>
              <w:ind w:left="660" w:firstLine="0" w:firstLineChars="0"/>
              <w:jc w:val="left"/>
              <w:rPr>
                <w:rFonts w:ascii="楷体_GB2312" w:hAnsi="楷体" w:eastAsia="楷体_GB2312"/>
                <w:bCs/>
                <w:color w:val="0C0C0C"/>
                <w:sz w:val="24"/>
              </w:rPr>
            </w:pPr>
          </w:p>
          <w:p>
            <w:pPr>
              <w:pStyle w:val="12"/>
              <w:tabs>
                <w:tab w:val="left" w:pos="4185"/>
              </w:tabs>
              <w:snapToGrid w:val="0"/>
              <w:ind w:left="660" w:firstLine="0" w:firstLineChars="0"/>
              <w:jc w:val="left"/>
              <w:rPr>
                <w:rFonts w:ascii="楷体_GB2312" w:hAnsi="楷体" w:eastAsia="楷体_GB2312"/>
                <w:bCs/>
                <w:color w:val="0C0C0C"/>
                <w:sz w:val="24"/>
              </w:rPr>
            </w:pPr>
          </w:p>
          <w:p>
            <w:pPr>
              <w:pStyle w:val="12"/>
              <w:tabs>
                <w:tab w:val="left" w:pos="4185"/>
              </w:tabs>
              <w:snapToGrid w:val="0"/>
              <w:ind w:left="660" w:firstLine="0" w:firstLineChars="0"/>
              <w:jc w:val="left"/>
              <w:rPr>
                <w:rFonts w:ascii="楷体_GB2312" w:hAnsi="楷体" w:eastAsia="楷体_GB2312"/>
                <w:bCs/>
                <w:color w:val="0C0C0C"/>
                <w:sz w:val="24"/>
              </w:rPr>
            </w:pPr>
          </w:p>
          <w:p>
            <w:pPr>
              <w:pStyle w:val="12"/>
              <w:tabs>
                <w:tab w:val="left" w:pos="4185"/>
              </w:tabs>
              <w:snapToGrid w:val="0"/>
              <w:ind w:left="660" w:firstLine="0" w:firstLineChars="0"/>
              <w:jc w:val="left"/>
              <w:rPr>
                <w:rFonts w:ascii="楷体_GB2312" w:hAnsi="楷体" w:eastAsia="楷体_GB2312"/>
                <w:bCs/>
                <w:color w:val="0C0C0C"/>
                <w:sz w:val="24"/>
              </w:rPr>
            </w:pPr>
          </w:p>
          <w:p>
            <w:pPr>
              <w:pStyle w:val="12"/>
              <w:tabs>
                <w:tab w:val="left" w:pos="4185"/>
              </w:tabs>
              <w:snapToGrid w:val="0"/>
              <w:ind w:left="660" w:firstLine="0" w:firstLineChars="0"/>
              <w:jc w:val="left"/>
              <w:rPr>
                <w:rFonts w:ascii="楷体_GB2312" w:hAnsi="楷体" w:eastAsia="楷体_GB2312"/>
                <w:bCs/>
                <w:color w:val="0C0C0C"/>
                <w:sz w:val="24"/>
              </w:rPr>
            </w:pPr>
          </w:p>
          <w:p>
            <w:pPr>
              <w:pStyle w:val="12"/>
              <w:tabs>
                <w:tab w:val="left" w:pos="4185"/>
              </w:tabs>
              <w:snapToGrid w:val="0"/>
              <w:ind w:left="660" w:firstLine="0" w:firstLineChars="0"/>
              <w:jc w:val="left"/>
              <w:rPr>
                <w:rFonts w:ascii="楷体_GB2312" w:hAnsi="楷体" w:eastAsia="楷体_GB2312"/>
                <w:bCs/>
                <w:color w:val="0C0C0C"/>
                <w:sz w:val="24"/>
              </w:rPr>
            </w:pPr>
          </w:p>
          <w:p>
            <w:pPr>
              <w:pStyle w:val="12"/>
              <w:tabs>
                <w:tab w:val="left" w:pos="4185"/>
              </w:tabs>
              <w:snapToGrid w:val="0"/>
              <w:ind w:left="660" w:firstLine="0" w:firstLineChars="0"/>
              <w:jc w:val="left"/>
              <w:rPr>
                <w:rFonts w:ascii="楷体_GB2312" w:hAnsi="楷体" w:eastAsia="楷体_GB2312"/>
                <w:bCs/>
                <w:color w:val="0C0C0C"/>
                <w:sz w:val="24"/>
              </w:rPr>
            </w:pPr>
          </w:p>
          <w:p>
            <w:pPr>
              <w:pStyle w:val="12"/>
              <w:tabs>
                <w:tab w:val="left" w:pos="4185"/>
              </w:tabs>
              <w:snapToGrid w:val="0"/>
              <w:ind w:left="660" w:firstLine="0" w:firstLineChars="0"/>
              <w:jc w:val="left"/>
              <w:rPr>
                <w:rFonts w:ascii="楷体_GB2312" w:hAnsi="楷体" w:eastAsia="楷体_GB2312"/>
                <w:bCs/>
                <w:color w:val="0C0C0C"/>
                <w:sz w:val="24"/>
              </w:rPr>
            </w:pPr>
          </w:p>
          <w:p>
            <w:pPr>
              <w:pStyle w:val="12"/>
              <w:tabs>
                <w:tab w:val="left" w:pos="4185"/>
              </w:tabs>
              <w:snapToGrid w:val="0"/>
              <w:ind w:left="660" w:firstLine="0" w:firstLineChars="0"/>
              <w:jc w:val="left"/>
              <w:rPr>
                <w:rFonts w:ascii="楷体_GB2312" w:hAnsi="楷体" w:eastAsia="楷体_GB2312"/>
                <w:bCs/>
                <w:color w:val="0C0C0C"/>
                <w:sz w:val="24"/>
              </w:rPr>
            </w:pPr>
          </w:p>
          <w:p>
            <w:pPr>
              <w:pStyle w:val="12"/>
              <w:tabs>
                <w:tab w:val="left" w:pos="4185"/>
              </w:tabs>
              <w:snapToGrid w:val="0"/>
              <w:ind w:left="660" w:firstLine="0" w:firstLineChars="0"/>
              <w:jc w:val="left"/>
              <w:rPr>
                <w:rFonts w:ascii="楷体_GB2312" w:hAnsi="楷体" w:eastAsia="楷体_GB2312"/>
                <w:bCs/>
                <w:color w:val="0C0C0C"/>
                <w:sz w:val="24"/>
              </w:rPr>
            </w:pPr>
          </w:p>
          <w:p>
            <w:pPr>
              <w:pStyle w:val="12"/>
              <w:tabs>
                <w:tab w:val="left" w:pos="4185"/>
              </w:tabs>
              <w:snapToGrid w:val="0"/>
              <w:ind w:left="660" w:firstLine="0" w:firstLineChars="0"/>
              <w:jc w:val="left"/>
              <w:rPr>
                <w:rFonts w:ascii="楷体_GB2312" w:hAnsi="楷体" w:eastAsia="楷体_GB2312"/>
                <w:bCs/>
                <w:color w:val="0C0C0C"/>
                <w:sz w:val="24"/>
              </w:rPr>
            </w:pPr>
          </w:p>
          <w:p>
            <w:pPr>
              <w:pStyle w:val="12"/>
              <w:tabs>
                <w:tab w:val="left" w:pos="4185"/>
              </w:tabs>
              <w:snapToGrid w:val="0"/>
              <w:ind w:left="660" w:firstLine="0" w:firstLineChars="0"/>
              <w:jc w:val="left"/>
              <w:rPr>
                <w:rFonts w:ascii="楷体_GB2312" w:hAnsi="楷体" w:eastAsia="楷体_GB2312"/>
                <w:bCs/>
                <w:color w:val="0C0C0C"/>
                <w:sz w:val="24"/>
              </w:rPr>
            </w:pPr>
          </w:p>
          <w:p>
            <w:pPr>
              <w:pStyle w:val="12"/>
              <w:tabs>
                <w:tab w:val="left" w:pos="4185"/>
              </w:tabs>
              <w:snapToGrid w:val="0"/>
              <w:ind w:left="660" w:firstLine="0" w:firstLineChars="0"/>
              <w:jc w:val="left"/>
              <w:rPr>
                <w:rFonts w:ascii="楷体_GB2312" w:hAnsi="楷体" w:eastAsia="楷体_GB2312"/>
                <w:bCs/>
                <w:color w:val="0C0C0C"/>
                <w:sz w:val="24"/>
              </w:rPr>
            </w:pPr>
          </w:p>
          <w:p>
            <w:pPr>
              <w:pStyle w:val="12"/>
              <w:tabs>
                <w:tab w:val="left" w:pos="4185"/>
              </w:tabs>
              <w:snapToGrid w:val="0"/>
              <w:ind w:left="660" w:firstLine="0" w:firstLineChars="0"/>
              <w:jc w:val="left"/>
              <w:rPr>
                <w:rFonts w:ascii="楷体_GB2312" w:hAnsi="楷体" w:eastAsia="楷体_GB2312"/>
                <w:bCs/>
                <w:color w:val="0C0C0C"/>
                <w:sz w:val="24"/>
              </w:rPr>
            </w:pPr>
          </w:p>
          <w:p>
            <w:pPr>
              <w:pStyle w:val="12"/>
              <w:tabs>
                <w:tab w:val="left" w:pos="4185"/>
              </w:tabs>
              <w:snapToGrid w:val="0"/>
              <w:ind w:left="660" w:firstLine="0" w:firstLineChars="0"/>
              <w:jc w:val="left"/>
              <w:rPr>
                <w:rFonts w:ascii="楷体_GB2312" w:hAnsi="楷体" w:eastAsia="楷体_GB2312"/>
                <w:bCs/>
                <w:color w:val="0C0C0C"/>
                <w:sz w:val="24"/>
              </w:rPr>
            </w:pPr>
          </w:p>
          <w:p>
            <w:pPr>
              <w:pStyle w:val="12"/>
              <w:tabs>
                <w:tab w:val="left" w:pos="4185"/>
              </w:tabs>
              <w:snapToGrid w:val="0"/>
              <w:ind w:left="660" w:firstLine="0" w:firstLineChars="0"/>
              <w:jc w:val="left"/>
              <w:rPr>
                <w:rFonts w:ascii="楷体_GB2312" w:hAnsi="楷体" w:eastAsia="楷体_GB2312"/>
                <w:bCs/>
                <w:color w:val="0C0C0C"/>
                <w:sz w:val="24"/>
              </w:rPr>
            </w:pPr>
          </w:p>
          <w:p>
            <w:pPr>
              <w:pStyle w:val="12"/>
              <w:tabs>
                <w:tab w:val="left" w:pos="4185"/>
              </w:tabs>
              <w:snapToGrid w:val="0"/>
              <w:ind w:left="660" w:firstLine="0" w:firstLineChars="0"/>
              <w:jc w:val="left"/>
              <w:rPr>
                <w:rFonts w:ascii="楷体_GB2312" w:hAnsi="楷体" w:eastAsia="楷体_GB2312"/>
                <w:bCs/>
                <w:color w:val="0C0C0C"/>
                <w:sz w:val="24"/>
              </w:rPr>
            </w:pPr>
          </w:p>
          <w:p>
            <w:pPr>
              <w:pStyle w:val="12"/>
              <w:tabs>
                <w:tab w:val="left" w:pos="4185"/>
              </w:tabs>
              <w:snapToGrid w:val="0"/>
              <w:ind w:left="660" w:firstLine="0" w:firstLineChars="0"/>
              <w:jc w:val="left"/>
              <w:rPr>
                <w:rFonts w:ascii="楷体_GB2312" w:hAnsi="楷体" w:eastAsia="楷体_GB2312"/>
                <w:bCs/>
                <w:color w:val="0C0C0C"/>
                <w:sz w:val="24"/>
              </w:rPr>
            </w:pPr>
          </w:p>
          <w:p>
            <w:pPr>
              <w:pStyle w:val="12"/>
              <w:tabs>
                <w:tab w:val="left" w:pos="4185"/>
              </w:tabs>
              <w:snapToGrid w:val="0"/>
              <w:ind w:left="660" w:firstLine="0" w:firstLineChars="0"/>
              <w:jc w:val="left"/>
              <w:rPr>
                <w:rFonts w:ascii="楷体_GB2312" w:hAnsi="楷体" w:eastAsia="楷体_GB2312"/>
                <w:bCs/>
                <w:color w:val="0C0C0C"/>
                <w:sz w:val="24"/>
              </w:rPr>
            </w:pPr>
          </w:p>
          <w:p>
            <w:pPr>
              <w:pStyle w:val="12"/>
              <w:tabs>
                <w:tab w:val="left" w:pos="4185"/>
              </w:tabs>
              <w:snapToGrid w:val="0"/>
              <w:ind w:left="660" w:firstLine="0" w:firstLineChars="0"/>
              <w:jc w:val="left"/>
              <w:rPr>
                <w:rFonts w:ascii="楷体_GB2312" w:hAnsi="楷体" w:eastAsia="楷体_GB2312"/>
                <w:bCs/>
                <w:color w:val="0C0C0C"/>
                <w:sz w:val="24"/>
              </w:rPr>
            </w:pPr>
          </w:p>
          <w:p>
            <w:pPr>
              <w:pStyle w:val="12"/>
              <w:tabs>
                <w:tab w:val="left" w:pos="4185"/>
              </w:tabs>
              <w:snapToGrid w:val="0"/>
              <w:ind w:left="660" w:firstLine="0" w:firstLineChars="0"/>
              <w:jc w:val="left"/>
              <w:rPr>
                <w:rFonts w:ascii="楷体_GB2312" w:hAnsi="楷体" w:eastAsia="楷体_GB2312"/>
                <w:bCs/>
                <w:color w:val="0C0C0C"/>
                <w:sz w:val="24"/>
              </w:rPr>
            </w:pPr>
          </w:p>
          <w:p>
            <w:pPr>
              <w:pStyle w:val="12"/>
              <w:tabs>
                <w:tab w:val="left" w:pos="4185"/>
              </w:tabs>
              <w:snapToGrid w:val="0"/>
              <w:ind w:left="660" w:firstLine="0" w:firstLineChars="0"/>
              <w:jc w:val="left"/>
              <w:rPr>
                <w:rFonts w:ascii="楷体_GB2312" w:hAnsi="楷体" w:eastAsia="楷体_GB2312"/>
                <w:bCs/>
                <w:color w:val="0C0C0C"/>
                <w:sz w:val="24"/>
              </w:rPr>
            </w:pPr>
          </w:p>
          <w:p>
            <w:pPr>
              <w:pStyle w:val="12"/>
              <w:tabs>
                <w:tab w:val="left" w:pos="4185"/>
              </w:tabs>
              <w:snapToGrid w:val="0"/>
              <w:ind w:left="660" w:firstLine="0" w:firstLineChars="0"/>
              <w:jc w:val="left"/>
              <w:rPr>
                <w:rFonts w:ascii="楷体_GB2312" w:hAnsi="楷体" w:eastAsia="楷体_GB2312"/>
                <w:bCs/>
                <w:color w:val="0C0C0C"/>
                <w:sz w:val="24"/>
              </w:rPr>
            </w:pPr>
          </w:p>
          <w:p>
            <w:pPr>
              <w:pStyle w:val="12"/>
              <w:tabs>
                <w:tab w:val="left" w:pos="4185"/>
              </w:tabs>
              <w:snapToGrid w:val="0"/>
              <w:ind w:left="660" w:firstLine="0" w:firstLineChars="0"/>
              <w:jc w:val="left"/>
              <w:rPr>
                <w:rFonts w:ascii="楷体_GB2312" w:hAnsi="楷体" w:eastAsia="楷体_GB2312"/>
                <w:bCs/>
                <w:color w:val="0C0C0C"/>
                <w:sz w:val="24"/>
              </w:rPr>
            </w:pPr>
          </w:p>
          <w:p>
            <w:pPr>
              <w:pStyle w:val="12"/>
              <w:tabs>
                <w:tab w:val="left" w:pos="4185"/>
              </w:tabs>
              <w:snapToGrid w:val="0"/>
              <w:ind w:left="660" w:firstLine="0" w:firstLineChars="0"/>
              <w:jc w:val="left"/>
              <w:rPr>
                <w:rFonts w:ascii="楷体_GB2312" w:hAnsi="楷体" w:eastAsia="楷体_GB2312"/>
                <w:bCs/>
                <w:color w:val="0C0C0C"/>
                <w:sz w:val="24"/>
              </w:rPr>
            </w:pPr>
          </w:p>
          <w:p>
            <w:pPr>
              <w:pStyle w:val="12"/>
              <w:tabs>
                <w:tab w:val="left" w:pos="4185"/>
              </w:tabs>
              <w:snapToGrid w:val="0"/>
              <w:ind w:left="660" w:firstLine="0" w:firstLineChars="0"/>
              <w:jc w:val="left"/>
              <w:rPr>
                <w:rFonts w:ascii="楷体_GB2312" w:hAnsi="楷体" w:eastAsia="楷体_GB2312"/>
                <w:bCs/>
                <w:color w:val="0C0C0C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Cs/>
                <w:color w:val="0C0C0C"/>
                <w:sz w:val="24"/>
              </w:rPr>
            </w:pPr>
          </w:p>
        </w:tc>
      </w:tr>
    </w:tbl>
    <w:p>
      <w:pPr>
        <w:spacing w:line="2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53328DC"/>
    <w:multiLevelType w:val="multilevel"/>
    <w:tmpl w:val="653328DC"/>
    <w:lvl w:ilvl="0" w:tentative="0">
      <w:start w:val="1"/>
      <w:numFmt w:val="decimal"/>
      <w:lvlText w:val="%1."/>
      <w:lvlJc w:val="left"/>
      <w:pPr>
        <w:ind w:left="1380" w:hanging="420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75EA6679"/>
    <w:multiLevelType w:val="multilevel"/>
    <w:tmpl w:val="75EA6679"/>
    <w:lvl w:ilvl="0" w:tentative="0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xNWNjNDYyYTNmOTgxMGY2OWQ2MmJlMDMyM2M5ZmIifQ=="/>
  </w:docVars>
  <w:rsids>
    <w:rsidRoot w:val="AFFF087D"/>
    <w:rsid w:val="001B66D4"/>
    <w:rsid w:val="00265CED"/>
    <w:rsid w:val="00283ACE"/>
    <w:rsid w:val="00336FFA"/>
    <w:rsid w:val="00350FA8"/>
    <w:rsid w:val="00383D0B"/>
    <w:rsid w:val="004932C4"/>
    <w:rsid w:val="004A026E"/>
    <w:rsid w:val="004E7BB8"/>
    <w:rsid w:val="0052358C"/>
    <w:rsid w:val="00553AF4"/>
    <w:rsid w:val="00557AFB"/>
    <w:rsid w:val="00573570"/>
    <w:rsid w:val="00573700"/>
    <w:rsid w:val="005E60EF"/>
    <w:rsid w:val="006738EC"/>
    <w:rsid w:val="006A32FA"/>
    <w:rsid w:val="006C2729"/>
    <w:rsid w:val="006E7F74"/>
    <w:rsid w:val="007443F2"/>
    <w:rsid w:val="007462F9"/>
    <w:rsid w:val="00747429"/>
    <w:rsid w:val="00772EE6"/>
    <w:rsid w:val="007A3E9C"/>
    <w:rsid w:val="00815B9F"/>
    <w:rsid w:val="00890092"/>
    <w:rsid w:val="00893E53"/>
    <w:rsid w:val="009102EA"/>
    <w:rsid w:val="0091325D"/>
    <w:rsid w:val="00953740"/>
    <w:rsid w:val="009B288B"/>
    <w:rsid w:val="00A41205"/>
    <w:rsid w:val="00A833B8"/>
    <w:rsid w:val="00A93D76"/>
    <w:rsid w:val="00AC5EF5"/>
    <w:rsid w:val="00C311BA"/>
    <w:rsid w:val="00CD2752"/>
    <w:rsid w:val="00D13AAF"/>
    <w:rsid w:val="00D5063D"/>
    <w:rsid w:val="00D932CF"/>
    <w:rsid w:val="00DF1B02"/>
    <w:rsid w:val="00E443B5"/>
    <w:rsid w:val="00E8219E"/>
    <w:rsid w:val="00E92515"/>
    <w:rsid w:val="00E93B18"/>
    <w:rsid w:val="00EA36B8"/>
    <w:rsid w:val="00F2369A"/>
    <w:rsid w:val="00FB06D9"/>
    <w:rsid w:val="00FC0266"/>
    <w:rsid w:val="01763BCE"/>
    <w:rsid w:val="02160F0D"/>
    <w:rsid w:val="03DB41BC"/>
    <w:rsid w:val="0E411071"/>
    <w:rsid w:val="10E64C3F"/>
    <w:rsid w:val="11CD2012"/>
    <w:rsid w:val="11E97AC6"/>
    <w:rsid w:val="122B4561"/>
    <w:rsid w:val="14574984"/>
    <w:rsid w:val="146401FE"/>
    <w:rsid w:val="1EBD9178"/>
    <w:rsid w:val="1FE3647B"/>
    <w:rsid w:val="20270A5D"/>
    <w:rsid w:val="20BD6CCC"/>
    <w:rsid w:val="236160D5"/>
    <w:rsid w:val="241A2687"/>
    <w:rsid w:val="25284B3E"/>
    <w:rsid w:val="25585215"/>
    <w:rsid w:val="25EB3293"/>
    <w:rsid w:val="29027D1A"/>
    <w:rsid w:val="2B51642E"/>
    <w:rsid w:val="2B731DAD"/>
    <w:rsid w:val="2CEFB339"/>
    <w:rsid w:val="2EFBBC48"/>
    <w:rsid w:val="3B9D0C2F"/>
    <w:rsid w:val="3BBF1B45"/>
    <w:rsid w:val="3CF67395"/>
    <w:rsid w:val="3DFF8C80"/>
    <w:rsid w:val="3FAC72FC"/>
    <w:rsid w:val="3FDF6C0E"/>
    <w:rsid w:val="3FE95ABC"/>
    <w:rsid w:val="422B4529"/>
    <w:rsid w:val="4A607A0B"/>
    <w:rsid w:val="4C213D03"/>
    <w:rsid w:val="52240051"/>
    <w:rsid w:val="55D179A1"/>
    <w:rsid w:val="56EEFD7E"/>
    <w:rsid w:val="57B74E1B"/>
    <w:rsid w:val="591FD8F5"/>
    <w:rsid w:val="5AAC40BB"/>
    <w:rsid w:val="5DD32290"/>
    <w:rsid w:val="5DF46E1D"/>
    <w:rsid w:val="5DFEE7D4"/>
    <w:rsid w:val="5F3743E3"/>
    <w:rsid w:val="5FBC2178"/>
    <w:rsid w:val="68BC65E9"/>
    <w:rsid w:val="6F9B4CF3"/>
    <w:rsid w:val="6FAF0381"/>
    <w:rsid w:val="6FFF2EC6"/>
    <w:rsid w:val="72AD1143"/>
    <w:rsid w:val="740933B5"/>
    <w:rsid w:val="752B3347"/>
    <w:rsid w:val="798E7A17"/>
    <w:rsid w:val="79B81A43"/>
    <w:rsid w:val="7A8FFAC6"/>
    <w:rsid w:val="7AFB59A5"/>
    <w:rsid w:val="7BDFCBFF"/>
    <w:rsid w:val="7CB213FA"/>
    <w:rsid w:val="7CFECE28"/>
    <w:rsid w:val="7DB18C74"/>
    <w:rsid w:val="7DBAEB37"/>
    <w:rsid w:val="7DBF1A34"/>
    <w:rsid w:val="7DEB2C32"/>
    <w:rsid w:val="7DFF523D"/>
    <w:rsid w:val="7E5F3199"/>
    <w:rsid w:val="7EF35ADA"/>
    <w:rsid w:val="7F6C5138"/>
    <w:rsid w:val="7F7B04A8"/>
    <w:rsid w:val="7F7EF37E"/>
    <w:rsid w:val="7F9A47B1"/>
    <w:rsid w:val="7FA5EC14"/>
    <w:rsid w:val="7FD7D6B2"/>
    <w:rsid w:val="7FF37BAA"/>
    <w:rsid w:val="9DBC5BFE"/>
    <w:rsid w:val="A7EB79A2"/>
    <w:rsid w:val="ABC2528A"/>
    <w:rsid w:val="ABFD3B40"/>
    <w:rsid w:val="AE8F304D"/>
    <w:rsid w:val="AFFF087D"/>
    <w:rsid w:val="B7D56515"/>
    <w:rsid w:val="B9EF54B5"/>
    <w:rsid w:val="BE3FDE16"/>
    <w:rsid w:val="BEFF65E4"/>
    <w:rsid w:val="BF6C6DEC"/>
    <w:rsid w:val="D7371D03"/>
    <w:rsid w:val="D7FE4373"/>
    <w:rsid w:val="DE7F24A6"/>
    <w:rsid w:val="ED661AE8"/>
    <w:rsid w:val="EDFF9236"/>
    <w:rsid w:val="EEFDCF1B"/>
    <w:rsid w:val="EF358C7A"/>
    <w:rsid w:val="EFBFEC5E"/>
    <w:rsid w:val="F2715785"/>
    <w:rsid w:val="F3D759E3"/>
    <w:rsid w:val="F6BC5A60"/>
    <w:rsid w:val="F7AF7DD2"/>
    <w:rsid w:val="FAFBA160"/>
    <w:rsid w:val="FBDBA10B"/>
    <w:rsid w:val="FBF77622"/>
    <w:rsid w:val="FE7F89ED"/>
    <w:rsid w:val="FF6D7F3E"/>
    <w:rsid w:val="FFAD001C"/>
    <w:rsid w:val="FFBF67D3"/>
    <w:rsid w:val="FFD77033"/>
    <w:rsid w:val="FFD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semiHidden/>
    <w:unhideWhenUsed/>
    <w:qFormat/>
    <w:uiPriority w:val="0"/>
    <w:rPr>
      <w:color w:val="0000FF"/>
      <w:u w:val="single"/>
    </w:rPr>
  </w:style>
  <w:style w:type="character" w:customStyle="1" w:styleId="11">
    <w:name w:val="页眉 字符"/>
    <w:basedOn w:val="7"/>
    <w:link w:val="5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paragraph" w:customStyle="1" w:styleId="13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8241</Words>
  <Characters>9156</Characters>
  <Lines>92</Lines>
  <Paragraphs>26</Paragraphs>
  <TotalTime>14</TotalTime>
  <ScaleCrop>false</ScaleCrop>
  <LinksUpToDate>false</LinksUpToDate>
  <CharactersWithSpaces>9277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2023-03-03T23:07:00Z</dcterms:created>
  <dc:creator>fxhuser</dc:creator>
  <cp:lastModifiedBy>执牛耳</cp:lastModifiedBy>
  <cp:lastPrinted>2022-12-28T16:41:00Z</cp:lastPrinted>
  <dcterms:modified xsi:type="dcterms:W3CDTF">2023-04-27T08:10:00Z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2D31E4CCF8D341A8847838D18B72E177</vt:lpwstr>
  </property>
</Properties>
</file>